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FFCB41" w14:textId="77777777" w:rsidR="007776CA" w:rsidRDefault="00000000" w:rsidP="0034795B">
      <w:pPr>
        <w:ind w:right="28" w:firstLine="283"/>
        <w:jc w:val="both"/>
        <w:rPr>
          <w:b/>
          <w:sz w:val="24"/>
          <w:szCs w:val="24"/>
        </w:rPr>
      </w:pPr>
      <w:r>
        <w:rPr>
          <w:b/>
          <w:sz w:val="24"/>
          <w:szCs w:val="24"/>
        </w:rPr>
        <w:t>FORMULÁRIO</w:t>
      </w:r>
    </w:p>
    <w:p w14:paraId="28253A81" w14:textId="77777777" w:rsidR="007776CA" w:rsidRDefault="007776CA">
      <w:pPr>
        <w:pBdr>
          <w:top w:val="nil"/>
          <w:left w:val="nil"/>
          <w:bottom w:val="nil"/>
          <w:right w:val="nil"/>
          <w:between w:val="nil"/>
        </w:pBdr>
        <w:spacing w:before="224"/>
        <w:ind w:left="283" w:right="28"/>
        <w:jc w:val="both"/>
        <w:rPr>
          <w:b/>
          <w:color w:val="000000"/>
          <w:sz w:val="24"/>
          <w:szCs w:val="24"/>
        </w:rPr>
      </w:pPr>
    </w:p>
    <w:p w14:paraId="3742420D" w14:textId="77777777" w:rsidR="007776CA" w:rsidRDefault="00000000">
      <w:pPr>
        <w:ind w:left="283" w:right="28"/>
        <w:jc w:val="both"/>
        <w:rPr>
          <w:sz w:val="24"/>
          <w:szCs w:val="24"/>
        </w:rPr>
      </w:pPr>
      <w:r>
        <w:rPr>
          <w:b/>
          <w:sz w:val="24"/>
          <w:szCs w:val="24"/>
        </w:rPr>
        <w:t xml:space="preserve">IDENTIFICAÇÃO: </w:t>
      </w:r>
      <w:r>
        <w:rPr>
          <w:rFonts w:ascii="Arial" w:eastAsia="Arial" w:hAnsi="Arial" w:cs="Arial"/>
          <w:color w:val="363636"/>
          <w:sz w:val="24"/>
          <w:szCs w:val="24"/>
        </w:rPr>
        <w:t>ANAPAR</w:t>
      </w:r>
    </w:p>
    <w:p w14:paraId="03ECC8BD" w14:textId="77777777" w:rsidR="007776CA" w:rsidRDefault="00000000">
      <w:pPr>
        <w:spacing w:before="112"/>
        <w:ind w:left="283" w:right="28"/>
        <w:jc w:val="both"/>
        <w:rPr>
          <w:sz w:val="24"/>
          <w:szCs w:val="24"/>
        </w:rPr>
      </w:pPr>
      <w:r>
        <w:rPr>
          <w:b/>
          <w:sz w:val="24"/>
          <w:szCs w:val="24"/>
        </w:rPr>
        <w:t xml:space="preserve">NOME OU RAZÃO SOCIAL: </w:t>
      </w:r>
      <w:r>
        <w:rPr>
          <w:rFonts w:ascii="Arial" w:eastAsia="Arial" w:hAnsi="Arial" w:cs="Arial"/>
          <w:color w:val="333333"/>
          <w:sz w:val="24"/>
          <w:szCs w:val="24"/>
          <w:highlight w:val="white"/>
        </w:rPr>
        <w:t>ASSOCIACAO NACIONAL DOS PARTICIPANTES DE FUNDOS DE PENSÃO E DOS BENEFICIÁRIOS DE SAUDE SUPLEMENTAR DE AUTOGESTÃO</w:t>
      </w:r>
    </w:p>
    <w:p w14:paraId="2DDDB03C" w14:textId="77777777" w:rsidR="007776CA" w:rsidRDefault="00000000">
      <w:pPr>
        <w:spacing w:before="112" w:line="331" w:lineRule="auto"/>
        <w:ind w:left="283" w:right="28"/>
        <w:jc w:val="both"/>
        <w:rPr>
          <w:b/>
          <w:sz w:val="24"/>
          <w:szCs w:val="24"/>
        </w:rPr>
      </w:pPr>
      <w:r>
        <w:rPr>
          <w:b/>
          <w:sz w:val="24"/>
          <w:szCs w:val="24"/>
        </w:rPr>
        <w:t>CPF OU CNPJ REGISTRO ANS (OPERADORA DE PLANO DE SAÚDE) CNES (ESTABELECIMENTO DE SAÚDE)</w:t>
      </w:r>
    </w:p>
    <w:p w14:paraId="2CBEC2C4" w14:textId="77777777" w:rsidR="007776CA" w:rsidRDefault="00000000">
      <w:pPr>
        <w:spacing w:before="112" w:line="331" w:lineRule="auto"/>
        <w:ind w:left="283" w:right="28"/>
        <w:jc w:val="both"/>
        <w:rPr>
          <w:sz w:val="24"/>
          <w:szCs w:val="24"/>
        </w:rPr>
      </w:pPr>
      <w:r>
        <w:rPr>
          <w:b/>
          <w:sz w:val="24"/>
          <w:szCs w:val="24"/>
        </w:rPr>
        <w:t xml:space="preserve">CNPJ: </w:t>
      </w:r>
      <w:r>
        <w:rPr>
          <w:rFonts w:ascii="Arial" w:eastAsia="Arial" w:hAnsi="Arial" w:cs="Arial"/>
          <w:color w:val="333333"/>
          <w:sz w:val="24"/>
          <w:szCs w:val="24"/>
          <w:highlight w:val="white"/>
        </w:rPr>
        <w:t>04.520.291/0001-08</w:t>
      </w:r>
    </w:p>
    <w:p w14:paraId="2D42B24B" w14:textId="77777777" w:rsidR="007776CA" w:rsidRDefault="007776CA">
      <w:pPr>
        <w:pBdr>
          <w:top w:val="nil"/>
          <w:left w:val="nil"/>
          <w:bottom w:val="nil"/>
          <w:right w:val="nil"/>
          <w:between w:val="nil"/>
        </w:pBdr>
        <w:spacing w:before="114"/>
        <w:ind w:left="283" w:right="28"/>
        <w:jc w:val="both"/>
        <w:rPr>
          <w:b/>
          <w:color w:val="000000"/>
          <w:sz w:val="24"/>
          <w:szCs w:val="24"/>
        </w:rPr>
      </w:pPr>
    </w:p>
    <w:p w14:paraId="72BEBFF5" w14:textId="77777777" w:rsidR="007776CA" w:rsidRDefault="00000000">
      <w:pPr>
        <w:pStyle w:val="Ttulo1"/>
        <w:numPr>
          <w:ilvl w:val="0"/>
          <w:numId w:val="5"/>
        </w:numPr>
        <w:tabs>
          <w:tab w:val="left" w:pos="352"/>
        </w:tabs>
        <w:ind w:left="283" w:right="28" w:firstLine="0"/>
        <w:jc w:val="both"/>
      </w:pPr>
      <w:r>
        <w:t>- Suficiência e adequação do modelo atual:</w:t>
      </w:r>
    </w:p>
    <w:p w14:paraId="1AD71C9B" w14:textId="77777777" w:rsidR="007776CA" w:rsidRDefault="00000000">
      <w:pPr>
        <w:pBdr>
          <w:top w:val="nil"/>
          <w:left w:val="nil"/>
          <w:bottom w:val="nil"/>
          <w:right w:val="nil"/>
          <w:between w:val="nil"/>
        </w:pBdr>
        <w:spacing w:before="119" w:line="232" w:lineRule="auto"/>
        <w:ind w:left="283" w:right="28"/>
        <w:jc w:val="both"/>
        <w:rPr>
          <w:b/>
          <w:color w:val="000000"/>
          <w:sz w:val="24"/>
          <w:szCs w:val="24"/>
        </w:rPr>
      </w:pPr>
      <w:r>
        <w:rPr>
          <w:b/>
          <w:color w:val="000000"/>
          <w:sz w:val="24"/>
          <w:szCs w:val="24"/>
        </w:rPr>
        <w:t>As normas vigentes atualmente são suficientes para lidar com o tema ou existe a necessidade de alteração normativa?</w:t>
      </w:r>
    </w:p>
    <w:p w14:paraId="497130DD" w14:textId="77777777" w:rsidR="007776CA" w:rsidRDefault="00000000">
      <w:pPr>
        <w:pBdr>
          <w:top w:val="nil"/>
          <w:left w:val="nil"/>
          <w:bottom w:val="nil"/>
          <w:right w:val="nil"/>
          <w:between w:val="nil"/>
        </w:pBdr>
        <w:spacing w:before="119" w:line="232" w:lineRule="auto"/>
        <w:ind w:left="283" w:right="28" w:firstLine="566"/>
        <w:jc w:val="both"/>
        <w:rPr>
          <w:sz w:val="24"/>
          <w:szCs w:val="24"/>
        </w:rPr>
      </w:pPr>
      <w:r>
        <w:rPr>
          <w:sz w:val="24"/>
          <w:szCs w:val="24"/>
        </w:rPr>
        <w:t xml:space="preserve">O modelo atual de regulamentação das normas que tratam das Autogestões não reflete as necessidades das Operadoras de Autogestão e, tampouco, de seus usuários. </w:t>
      </w:r>
    </w:p>
    <w:p w14:paraId="166C5DDD" w14:textId="77777777" w:rsidR="007776CA" w:rsidRDefault="00000000">
      <w:pPr>
        <w:pBdr>
          <w:top w:val="nil"/>
          <w:left w:val="nil"/>
          <w:bottom w:val="nil"/>
          <w:right w:val="nil"/>
          <w:between w:val="nil"/>
        </w:pBdr>
        <w:spacing w:before="119" w:line="232" w:lineRule="auto"/>
        <w:ind w:left="283" w:right="28" w:firstLine="566"/>
        <w:jc w:val="both"/>
        <w:rPr>
          <w:sz w:val="24"/>
          <w:szCs w:val="24"/>
        </w:rPr>
      </w:pPr>
      <w:r>
        <w:rPr>
          <w:sz w:val="24"/>
          <w:szCs w:val="24"/>
        </w:rPr>
        <w:t>Com efeito, os órgãos reguladores precisam dar tratamento distinto às autogestões para garantir a sobrevivência e a eficiência destas operadoras. Isso porque as políticas recentes e, bem assim, as últimas regulamentações do setor, têm dado tratamento muito próximo ao segmento de mercado (operadoras com finalidade lucrativa) e às autogestões — como se sabe, as autogestões não possuem finalidade lucrativa, e sim uma gestão compartilhada e solidária entre patrocinadores e trabalhadores, fortalecendo princípios como o mutualismo, o pacto intergeracional e a cooperação.</w:t>
      </w:r>
    </w:p>
    <w:p w14:paraId="56599703" w14:textId="77777777" w:rsidR="007776CA" w:rsidRDefault="00000000">
      <w:pPr>
        <w:pBdr>
          <w:top w:val="nil"/>
          <w:left w:val="nil"/>
          <w:bottom w:val="nil"/>
          <w:right w:val="nil"/>
          <w:between w:val="nil"/>
        </w:pBdr>
        <w:spacing w:before="119" w:line="232" w:lineRule="auto"/>
        <w:ind w:left="283" w:right="28" w:firstLine="566"/>
        <w:jc w:val="both"/>
        <w:rPr>
          <w:sz w:val="24"/>
          <w:szCs w:val="24"/>
        </w:rPr>
      </w:pPr>
      <w:r>
        <w:rPr>
          <w:sz w:val="24"/>
          <w:szCs w:val="24"/>
        </w:rPr>
        <w:t>Diante disso, urge promover-se alteração do tratamento dispensado às autogestões. Sobretudo se mostra necessária a alteração da Resolução Normativa ANS 137/2006, a fim de que esta passe a encampar as demandas e especificidades do segmento de autogestão e, com isso, viabilize um maior nível de segurança jurídica e de robustez de direitos aos seus usuários.</w:t>
      </w:r>
    </w:p>
    <w:p w14:paraId="460342FA" w14:textId="77777777" w:rsidR="007776CA" w:rsidRDefault="007776CA">
      <w:pPr>
        <w:pBdr>
          <w:top w:val="nil"/>
          <w:left w:val="nil"/>
          <w:bottom w:val="nil"/>
          <w:right w:val="nil"/>
          <w:between w:val="nil"/>
        </w:pBdr>
        <w:spacing w:before="119" w:line="232" w:lineRule="auto"/>
        <w:ind w:left="283" w:right="28"/>
        <w:jc w:val="both"/>
        <w:rPr>
          <w:sz w:val="24"/>
          <w:szCs w:val="24"/>
        </w:rPr>
      </w:pPr>
    </w:p>
    <w:p w14:paraId="062D5873" w14:textId="77777777" w:rsidR="007776CA" w:rsidRDefault="00000000">
      <w:pPr>
        <w:pBdr>
          <w:top w:val="nil"/>
          <w:left w:val="nil"/>
          <w:bottom w:val="nil"/>
          <w:right w:val="nil"/>
          <w:between w:val="nil"/>
        </w:pBdr>
        <w:spacing w:before="114"/>
        <w:ind w:left="283" w:right="28"/>
        <w:jc w:val="both"/>
        <w:rPr>
          <w:b/>
          <w:color w:val="000000"/>
          <w:sz w:val="24"/>
          <w:szCs w:val="24"/>
        </w:rPr>
      </w:pPr>
      <w:r>
        <w:rPr>
          <w:b/>
          <w:color w:val="000000"/>
          <w:sz w:val="24"/>
          <w:szCs w:val="24"/>
        </w:rPr>
        <w:t>Que dados científicos poderiam justificar uma alteração normativa?</w:t>
      </w:r>
    </w:p>
    <w:p w14:paraId="14A6EF46" w14:textId="77777777" w:rsidR="007776CA" w:rsidRDefault="00000000">
      <w:pPr>
        <w:spacing w:before="119" w:line="232" w:lineRule="auto"/>
        <w:ind w:left="283" w:right="28" w:firstLine="566"/>
        <w:jc w:val="both"/>
        <w:rPr>
          <w:sz w:val="24"/>
          <w:szCs w:val="24"/>
        </w:rPr>
      </w:pPr>
      <w:r>
        <w:rPr>
          <w:sz w:val="24"/>
          <w:szCs w:val="24"/>
        </w:rPr>
        <w:t>Atualmente, os planos de saúde na modalidade de autogestão são responsáveis pela saúde suplementar de quase 4 milhões de pessoas. Todavia, estes planos vêm perdendo vantajosidade em relação aos planos com finalidade lucrativa, o que se dá especialmente por conta do recrudescimento das condições ofertadas pelas operadoras de autogestão (cujas decisões refletem, via de regra, os interesses dos instituidores, em detrimento do interesse dos trabalhadores, inativos e dependentes).</w:t>
      </w:r>
    </w:p>
    <w:p w14:paraId="63360C72" w14:textId="77777777" w:rsidR="007776CA" w:rsidRDefault="00000000">
      <w:pPr>
        <w:spacing w:before="119" w:line="232" w:lineRule="auto"/>
        <w:ind w:left="283" w:right="28" w:firstLine="566"/>
        <w:jc w:val="both"/>
        <w:rPr>
          <w:sz w:val="24"/>
          <w:szCs w:val="24"/>
        </w:rPr>
      </w:pPr>
      <w:r>
        <w:rPr>
          <w:sz w:val="24"/>
          <w:szCs w:val="24"/>
        </w:rPr>
        <w:t>Deste modo, é alarmante o dado de que entre 2015 e 2023 quase 1,5 milhão de usuários tiveram de abrir mão de seus planos, o que em geral se deu — frise-se —, por conta do recrudescimento das condições disponibilizadas.</w:t>
      </w:r>
    </w:p>
    <w:p w14:paraId="2B885E36" w14:textId="77777777" w:rsidR="007776CA" w:rsidRDefault="00000000">
      <w:pPr>
        <w:spacing w:before="119" w:line="232" w:lineRule="auto"/>
        <w:ind w:left="283" w:right="28" w:firstLine="566"/>
        <w:jc w:val="both"/>
        <w:rPr>
          <w:sz w:val="24"/>
          <w:szCs w:val="24"/>
        </w:rPr>
      </w:pPr>
      <w:r>
        <w:rPr>
          <w:sz w:val="24"/>
          <w:szCs w:val="24"/>
        </w:rPr>
        <w:t xml:space="preserve"> Atualmente há 146 operadoras de planos de saúde de autogestão em atividade, as quais reúnem 797 planos ativos, segundo o painel da Agência Nacional de Saúde Suplementar (ANS).</w:t>
      </w:r>
    </w:p>
    <w:p w14:paraId="29930D91" w14:textId="77777777" w:rsidR="007776CA" w:rsidRDefault="00000000">
      <w:pPr>
        <w:spacing w:before="119" w:line="232" w:lineRule="auto"/>
        <w:ind w:left="283" w:right="28" w:firstLine="566"/>
        <w:jc w:val="both"/>
        <w:rPr>
          <w:sz w:val="24"/>
          <w:szCs w:val="24"/>
        </w:rPr>
      </w:pPr>
      <w:r>
        <w:rPr>
          <w:sz w:val="24"/>
          <w:szCs w:val="24"/>
        </w:rPr>
        <w:t>Dentro desse contingente encontram-se trabalhadores e trabalhadoras, ativos e aposentados e seus dependentes, de companhias como os Correios, a Caixa Econômica Federal, o Banco do Brasil, a CHESF, a Eletronorte, a Eletrobrás, a Petrobrás e os servidores federais.</w:t>
      </w:r>
    </w:p>
    <w:p w14:paraId="097C4640" w14:textId="77777777" w:rsidR="007776CA" w:rsidRDefault="00000000">
      <w:pPr>
        <w:spacing w:before="119" w:line="232" w:lineRule="auto"/>
        <w:ind w:left="283" w:right="28" w:firstLine="566"/>
        <w:jc w:val="both"/>
        <w:rPr>
          <w:sz w:val="24"/>
          <w:szCs w:val="24"/>
        </w:rPr>
      </w:pPr>
      <w:r>
        <w:rPr>
          <w:sz w:val="24"/>
          <w:szCs w:val="24"/>
        </w:rPr>
        <w:t xml:space="preserve">As Operadoras de Autogestão vêm sendo alvo de diversas decisões que acabam por atravancar sua própria existência, prejudicando, com isso, a coletividade de beneficiários dessa modalidade de saúde suplementar. Veja-se que conforme dados do painel da ANS houve uma diminuição da ordem de 27,2% no </w:t>
      </w:r>
      <w:r>
        <w:rPr>
          <w:sz w:val="24"/>
          <w:szCs w:val="24"/>
        </w:rPr>
        <w:lastRenderedPageBreak/>
        <w:t>número de beneficiários entre 2015 e 2023.</w:t>
      </w:r>
    </w:p>
    <w:p w14:paraId="7F9FBF2B" w14:textId="77777777" w:rsidR="007776CA" w:rsidRDefault="00000000">
      <w:pPr>
        <w:spacing w:before="119" w:line="232" w:lineRule="auto"/>
        <w:ind w:left="283" w:right="28" w:firstLine="566"/>
        <w:jc w:val="both"/>
        <w:rPr>
          <w:sz w:val="24"/>
          <w:szCs w:val="24"/>
        </w:rPr>
      </w:pPr>
      <w:r>
        <w:rPr>
          <w:sz w:val="24"/>
          <w:szCs w:val="24"/>
        </w:rPr>
        <w:t>Assim, conforme dados do Painel de Informações em Saúde Suplementar da ANS, enquanto as operadoras com intuito lucrativo tiveram um aumento do número de vidas seguradas, as autogestões seguiram por caminho inverso, de modo que esta queda de beneficiários acima relatada vem sendo uma constante desde que o Painel foi instituído. Veja-se a disposição dos dados:</w:t>
      </w:r>
    </w:p>
    <w:p w14:paraId="2E75BE1F" w14:textId="77777777" w:rsidR="007776CA" w:rsidRDefault="00000000">
      <w:pPr>
        <w:spacing w:before="119" w:line="232" w:lineRule="auto"/>
        <w:ind w:left="283" w:right="28" w:firstLine="566"/>
        <w:jc w:val="both"/>
        <w:rPr>
          <w:sz w:val="24"/>
          <w:szCs w:val="24"/>
        </w:rPr>
      </w:pPr>
      <w:r>
        <w:rPr>
          <w:sz w:val="24"/>
          <w:szCs w:val="24"/>
        </w:rPr>
        <w:t>Figura 1 - Dados de março de 2015:</w:t>
      </w:r>
    </w:p>
    <w:p w14:paraId="760B7B82" w14:textId="77777777" w:rsidR="007776CA" w:rsidRDefault="00000000">
      <w:pPr>
        <w:spacing w:before="119" w:line="232" w:lineRule="auto"/>
        <w:ind w:left="283" w:right="28"/>
        <w:jc w:val="both"/>
        <w:rPr>
          <w:sz w:val="24"/>
          <w:szCs w:val="24"/>
        </w:rPr>
      </w:pPr>
      <w:r>
        <w:rPr>
          <w:noProof/>
          <w:sz w:val="24"/>
          <w:szCs w:val="24"/>
        </w:rPr>
        <w:drawing>
          <wp:inline distT="114300" distB="114300" distL="114300" distR="114300" wp14:anchorId="72B56C25" wp14:editId="3502B417">
            <wp:extent cx="6848800" cy="1689100"/>
            <wp:effectExtent l="0" t="0" r="0" b="0"/>
            <wp:docPr id="3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6848800" cy="1689100"/>
                    </a:xfrm>
                    <a:prstGeom prst="rect">
                      <a:avLst/>
                    </a:prstGeom>
                    <a:ln/>
                  </pic:spPr>
                </pic:pic>
              </a:graphicData>
            </a:graphic>
          </wp:inline>
        </w:drawing>
      </w:r>
    </w:p>
    <w:p w14:paraId="318E18AC" w14:textId="77777777" w:rsidR="007776CA" w:rsidRDefault="007776CA">
      <w:pPr>
        <w:spacing w:before="119" w:line="232" w:lineRule="auto"/>
        <w:ind w:left="283" w:right="28" w:firstLine="566"/>
        <w:jc w:val="both"/>
        <w:rPr>
          <w:sz w:val="24"/>
          <w:szCs w:val="24"/>
        </w:rPr>
      </w:pPr>
    </w:p>
    <w:p w14:paraId="33554E6F" w14:textId="77777777" w:rsidR="007776CA" w:rsidRDefault="00000000">
      <w:pPr>
        <w:spacing w:before="119" w:line="232" w:lineRule="auto"/>
        <w:ind w:left="283" w:right="28" w:firstLine="566"/>
        <w:jc w:val="both"/>
        <w:rPr>
          <w:sz w:val="24"/>
          <w:szCs w:val="24"/>
        </w:rPr>
      </w:pPr>
      <w:r>
        <w:rPr>
          <w:sz w:val="24"/>
          <w:szCs w:val="24"/>
        </w:rPr>
        <w:t>Figura 2 - Dados de dezembro de 2023:</w:t>
      </w:r>
    </w:p>
    <w:p w14:paraId="6AAECAE5" w14:textId="77777777" w:rsidR="007776CA" w:rsidRDefault="00000000">
      <w:pPr>
        <w:spacing w:before="119" w:line="232" w:lineRule="auto"/>
        <w:ind w:left="283" w:right="28"/>
        <w:jc w:val="both"/>
        <w:rPr>
          <w:sz w:val="24"/>
          <w:szCs w:val="24"/>
        </w:rPr>
      </w:pPr>
      <w:r>
        <w:rPr>
          <w:noProof/>
          <w:sz w:val="24"/>
          <w:szCs w:val="24"/>
        </w:rPr>
        <w:drawing>
          <wp:inline distT="114300" distB="114300" distL="114300" distR="114300" wp14:anchorId="43C39884" wp14:editId="41BEE8B4">
            <wp:extent cx="6848800" cy="1587500"/>
            <wp:effectExtent l="0" t="0" r="0" b="0"/>
            <wp:docPr id="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6848800" cy="1587500"/>
                    </a:xfrm>
                    <a:prstGeom prst="rect">
                      <a:avLst/>
                    </a:prstGeom>
                    <a:ln/>
                  </pic:spPr>
                </pic:pic>
              </a:graphicData>
            </a:graphic>
          </wp:inline>
        </w:drawing>
      </w:r>
    </w:p>
    <w:p w14:paraId="4EAA9379" w14:textId="77777777" w:rsidR="007776CA" w:rsidRDefault="007776CA">
      <w:pPr>
        <w:spacing w:before="119" w:line="232" w:lineRule="auto"/>
        <w:ind w:left="283" w:right="28" w:firstLine="566"/>
        <w:jc w:val="both"/>
        <w:rPr>
          <w:sz w:val="24"/>
          <w:szCs w:val="24"/>
        </w:rPr>
      </w:pPr>
    </w:p>
    <w:p w14:paraId="00E87276" w14:textId="77777777" w:rsidR="007776CA" w:rsidRDefault="00000000">
      <w:pPr>
        <w:spacing w:before="119" w:line="232" w:lineRule="auto"/>
        <w:ind w:left="283" w:right="28" w:firstLine="566"/>
        <w:jc w:val="both"/>
        <w:rPr>
          <w:sz w:val="24"/>
          <w:szCs w:val="24"/>
        </w:rPr>
      </w:pPr>
      <w:r>
        <w:rPr>
          <w:sz w:val="24"/>
          <w:szCs w:val="24"/>
        </w:rPr>
        <w:t>Ou seja, num cenário de tratamento equânime entre as distintas modalidades, ou seja, um tratamento que tomasse em conta as especificidades de cada uma delas, potencializando suas vantagens e minimizando suas desvantagens (como se esperaria de uma adequada política regulatória), não é crível que as autogestões tivessem sofrido esta expressiva redução de beneficiários ao passo em que as modalidades com finalidade lucrativa experimentaram incremento de vidas.</w:t>
      </w:r>
    </w:p>
    <w:p w14:paraId="707BC2C0" w14:textId="77777777" w:rsidR="007776CA" w:rsidRDefault="00000000">
      <w:pPr>
        <w:spacing w:before="119" w:line="232" w:lineRule="auto"/>
        <w:ind w:left="283" w:right="28" w:firstLine="566"/>
        <w:jc w:val="both"/>
        <w:rPr>
          <w:sz w:val="24"/>
          <w:szCs w:val="24"/>
        </w:rPr>
      </w:pPr>
      <w:r>
        <w:rPr>
          <w:sz w:val="24"/>
          <w:szCs w:val="24"/>
        </w:rPr>
        <w:t>Tem-se, assim, que a política regulatória atualmente vigente faz tabula rasa das autogestões, retirando diversas de suas potencialidades ao dispensar a este segmento tratamento idêntico àquele que é dispensado às operadoras com finalidade lucrativa.</w:t>
      </w:r>
    </w:p>
    <w:p w14:paraId="56EB2E32" w14:textId="77777777" w:rsidR="007776CA" w:rsidRDefault="00000000">
      <w:pPr>
        <w:spacing w:before="119" w:line="232" w:lineRule="auto"/>
        <w:ind w:left="283" w:right="28" w:firstLine="566"/>
        <w:jc w:val="both"/>
        <w:rPr>
          <w:sz w:val="24"/>
          <w:szCs w:val="24"/>
        </w:rPr>
      </w:pPr>
      <w:r>
        <w:rPr>
          <w:sz w:val="24"/>
          <w:szCs w:val="24"/>
        </w:rPr>
        <w:t>Em verdade, as autogestões acabaram por ter a si dispensado tratamento desvantajoso em alguns casos, como se viu na decisão da ANS que restringiu o conceito de grupo econômico, de forma a diminuir o escopo de empresas e, consequentemente, de seus trabalhadores que poderiam acessar uma autogestão.</w:t>
      </w:r>
    </w:p>
    <w:p w14:paraId="17580F81" w14:textId="77777777" w:rsidR="007776CA" w:rsidRDefault="00000000">
      <w:pPr>
        <w:spacing w:before="119" w:line="232" w:lineRule="auto"/>
        <w:ind w:left="283" w:right="28" w:firstLine="566"/>
        <w:jc w:val="both"/>
        <w:rPr>
          <w:sz w:val="24"/>
          <w:szCs w:val="24"/>
        </w:rPr>
      </w:pPr>
      <w:r>
        <w:rPr>
          <w:sz w:val="24"/>
          <w:szCs w:val="24"/>
        </w:rPr>
        <w:t>Perceba-se: não é factível que as autogestões tenham tido redução de número de beneficiários num cenário em que outras modalidades tiveram aumento.</w:t>
      </w:r>
    </w:p>
    <w:p w14:paraId="28578B73" w14:textId="77777777" w:rsidR="007776CA" w:rsidRDefault="00000000">
      <w:pPr>
        <w:spacing w:before="119" w:line="232" w:lineRule="auto"/>
        <w:ind w:left="283" w:right="28" w:firstLine="566"/>
        <w:jc w:val="both"/>
        <w:rPr>
          <w:sz w:val="24"/>
          <w:szCs w:val="24"/>
        </w:rPr>
      </w:pPr>
      <w:r>
        <w:rPr>
          <w:sz w:val="24"/>
          <w:szCs w:val="24"/>
        </w:rPr>
        <w:t>Portanto, entendemos que é necessária uma revisão das regulamentações aplicadas ao segmento, revisão esta que vise potencializar as vantagens competitivas deste modelo para seu público de beneficiários.</w:t>
      </w:r>
    </w:p>
    <w:p w14:paraId="418D8E79" w14:textId="77777777" w:rsidR="007776CA" w:rsidRDefault="007776CA">
      <w:pPr>
        <w:spacing w:before="119" w:line="232" w:lineRule="auto"/>
        <w:ind w:left="283" w:right="28" w:firstLine="566"/>
        <w:jc w:val="both"/>
        <w:rPr>
          <w:sz w:val="24"/>
          <w:szCs w:val="24"/>
        </w:rPr>
      </w:pPr>
    </w:p>
    <w:p w14:paraId="6E9F8DAC" w14:textId="77777777" w:rsidR="007776CA" w:rsidRDefault="00000000">
      <w:pPr>
        <w:pStyle w:val="Ttulo1"/>
        <w:numPr>
          <w:ilvl w:val="0"/>
          <w:numId w:val="5"/>
        </w:numPr>
        <w:tabs>
          <w:tab w:val="left" w:pos="416"/>
        </w:tabs>
        <w:spacing w:before="112"/>
        <w:ind w:left="283" w:right="28" w:firstLine="0"/>
        <w:jc w:val="both"/>
      </w:pPr>
      <w:r>
        <w:t>- Desenho do atual modelo regulatório</w:t>
      </w:r>
    </w:p>
    <w:p w14:paraId="7A0AF7E4" w14:textId="77777777" w:rsidR="007776CA" w:rsidRDefault="00000000">
      <w:pPr>
        <w:pBdr>
          <w:top w:val="nil"/>
          <w:left w:val="nil"/>
          <w:bottom w:val="nil"/>
          <w:right w:val="nil"/>
          <w:between w:val="nil"/>
        </w:pBdr>
        <w:spacing w:before="112"/>
        <w:ind w:left="283" w:right="28"/>
        <w:jc w:val="both"/>
        <w:rPr>
          <w:color w:val="000000"/>
          <w:sz w:val="24"/>
          <w:szCs w:val="24"/>
        </w:rPr>
      </w:pPr>
      <w:r>
        <w:rPr>
          <w:color w:val="000000"/>
          <w:sz w:val="24"/>
          <w:szCs w:val="24"/>
        </w:rPr>
        <w:t>Considerando os seguintes pontos de atenção pontuados em nota técnica sobre o tema.</w:t>
      </w:r>
    </w:p>
    <w:p w14:paraId="11D4E223" w14:textId="77777777" w:rsidR="007776CA" w:rsidRDefault="00000000">
      <w:pPr>
        <w:pBdr>
          <w:top w:val="nil"/>
          <w:left w:val="nil"/>
          <w:bottom w:val="nil"/>
          <w:right w:val="nil"/>
          <w:between w:val="nil"/>
        </w:pBdr>
        <w:tabs>
          <w:tab w:val="left" w:pos="834"/>
        </w:tabs>
        <w:spacing w:before="232"/>
        <w:ind w:left="283" w:right="28"/>
        <w:jc w:val="both"/>
        <w:rPr>
          <w:b/>
          <w:color w:val="000000"/>
          <w:sz w:val="24"/>
          <w:szCs w:val="24"/>
          <w:u w:val="single"/>
        </w:rPr>
      </w:pPr>
      <w:r>
        <w:rPr>
          <w:b/>
          <w:noProof/>
          <w:color w:val="000000"/>
          <w:sz w:val="24"/>
          <w:szCs w:val="24"/>
        </w:rPr>
        <w:drawing>
          <wp:inline distT="0" distB="0" distL="0" distR="0" wp14:anchorId="53F218AE" wp14:editId="09A9BC82">
            <wp:extent cx="47625" cy="47623"/>
            <wp:effectExtent l="0" t="0" r="0" b="0"/>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7625" cy="47623"/>
                    </a:xfrm>
                    <a:prstGeom prst="rect">
                      <a:avLst/>
                    </a:prstGeom>
                    <a:ln/>
                  </pic:spPr>
                </pic:pic>
              </a:graphicData>
            </a:graphic>
          </wp:inline>
        </w:drawing>
      </w:r>
      <w:r>
        <w:rPr>
          <w:rFonts w:ascii="Times New Roman" w:eastAsia="Times New Roman" w:hAnsi="Times New Roman" w:cs="Times New Roman"/>
          <w:b/>
          <w:color w:val="000000"/>
          <w:sz w:val="24"/>
          <w:szCs w:val="24"/>
        </w:rPr>
        <w:tab/>
      </w:r>
      <w:r>
        <w:rPr>
          <w:b/>
          <w:color w:val="000000"/>
          <w:sz w:val="24"/>
          <w:szCs w:val="24"/>
          <w:u w:val="single"/>
        </w:rPr>
        <w:t>Ampliação potencial da elegibilidade de beneficiários</w:t>
      </w:r>
    </w:p>
    <w:p w14:paraId="2EF41961" w14:textId="77777777" w:rsidR="007776CA" w:rsidRDefault="00000000">
      <w:pPr>
        <w:pBdr>
          <w:top w:val="nil"/>
          <w:left w:val="nil"/>
          <w:bottom w:val="nil"/>
          <w:right w:val="nil"/>
          <w:between w:val="nil"/>
        </w:pBdr>
        <w:spacing w:before="239" w:line="232" w:lineRule="auto"/>
        <w:ind w:left="283" w:right="28"/>
        <w:jc w:val="both"/>
        <w:rPr>
          <w:b/>
          <w:color w:val="000000"/>
          <w:sz w:val="24"/>
          <w:szCs w:val="24"/>
        </w:rPr>
      </w:pPr>
      <w:r>
        <w:rPr>
          <w:b/>
          <w:color w:val="000000"/>
          <w:sz w:val="24"/>
          <w:szCs w:val="24"/>
        </w:rPr>
        <w:t>Há risco para competitividade na possibilidade de ampliação do grupo restrito elegíveis por uma autogestão?</w:t>
      </w:r>
    </w:p>
    <w:p w14:paraId="657E6EB6" w14:textId="77777777" w:rsidR="007776CA" w:rsidRDefault="00000000">
      <w:pPr>
        <w:pBdr>
          <w:top w:val="nil"/>
          <w:left w:val="nil"/>
          <w:bottom w:val="nil"/>
          <w:right w:val="nil"/>
          <w:between w:val="nil"/>
        </w:pBdr>
        <w:spacing w:before="239" w:line="232" w:lineRule="auto"/>
        <w:ind w:left="283" w:right="28" w:firstLine="566"/>
        <w:jc w:val="both"/>
        <w:rPr>
          <w:sz w:val="24"/>
          <w:szCs w:val="24"/>
        </w:rPr>
      </w:pPr>
      <w:r>
        <w:rPr>
          <w:sz w:val="24"/>
          <w:szCs w:val="24"/>
        </w:rPr>
        <w:t xml:space="preserve">Entende-se que o cenário atual (com tratamento muito próximo entre autogestões e operadoras com finalidade lucrativa) é que acarreta redução da competitividade do segmento autogestionário. </w:t>
      </w:r>
    </w:p>
    <w:p w14:paraId="3E6A191B" w14:textId="77777777" w:rsidR="007776CA" w:rsidRDefault="00000000">
      <w:pPr>
        <w:pBdr>
          <w:top w:val="nil"/>
          <w:left w:val="nil"/>
          <w:bottom w:val="nil"/>
          <w:right w:val="nil"/>
          <w:between w:val="nil"/>
        </w:pBdr>
        <w:spacing w:before="239" w:line="232" w:lineRule="auto"/>
        <w:ind w:left="283" w:right="28" w:firstLine="566"/>
        <w:jc w:val="both"/>
        <w:rPr>
          <w:sz w:val="24"/>
          <w:szCs w:val="24"/>
        </w:rPr>
      </w:pPr>
      <w:r>
        <w:rPr>
          <w:sz w:val="24"/>
          <w:szCs w:val="24"/>
        </w:rPr>
        <w:t>Entendemos que, dadas as peculiaridades do segmento de autogestão, é possível ampliar o grupo de elegíveis sem que isto desvirtue a natureza dos planos ofertados. E, tão importante quanto, sem que isso acarrete redução de competitividade do segmento.</w:t>
      </w:r>
    </w:p>
    <w:p w14:paraId="0751E43F" w14:textId="77777777" w:rsidR="007776CA" w:rsidRDefault="007776CA">
      <w:pPr>
        <w:pBdr>
          <w:top w:val="nil"/>
          <w:left w:val="nil"/>
          <w:bottom w:val="nil"/>
          <w:right w:val="nil"/>
          <w:between w:val="nil"/>
        </w:pBdr>
        <w:spacing w:before="239" w:line="232" w:lineRule="auto"/>
        <w:ind w:left="283" w:right="28" w:firstLine="566"/>
        <w:jc w:val="both"/>
        <w:rPr>
          <w:sz w:val="24"/>
          <w:szCs w:val="24"/>
        </w:rPr>
      </w:pPr>
    </w:p>
    <w:p w14:paraId="6BAE0AA5" w14:textId="77777777" w:rsidR="007776CA" w:rsidRDefault="00000000">
      <w:pPr>
        <w:pBdr>
          <w:top w:val="nil"/>
          <w:left w:val="nil"/>
          <w:bottom w:val="nil"/>
          <w:right w:val="nil"/>
          <w:between w:val="nil"/>
        </w:pBdr>
        <w:spacing w:before="122" w:line="232" w:lineRule="auto"/>
        <w:ind w:left="283" w:right="28"/>
        <w:jc w:val="both"/>
        <w:rPr>
          <w:b/>
          <w:color w:val="000000"/>
          <w:sz w:val="24"/>
          <w:szCs w:val="24"/>
        </w:rPr>
      </w:pPr>
      <w:r>
        <w:rPr>
          <w:b/>
          <w:color w:val="000000"/>
          <w:sz w:val="24"/>
          <w:szCs w:val="24"/>
        </w:rPr>
        <w:t>Que tipo de ampliação seria suficiente a permitir a oxigenação da carteira mas resguardando a representatividade dos beneficiários e as características de uma autogestão?</w:t>
      </w:r>
    </w:p>
    <w:p w14:paraId="0EDB39E8" w14:textId="77777777" w:rsidR="007776CA" w:rsidRDefault="00000000">
      <w:pPr>
        <w:numPr>
          <w:ilvl w:val="0"/>
          <w:numId w:val="1"/>
        </w:numPr>
        <w:pBdr>
          <w:top w:val="nil"/>
          <w:left w:val="nil"/>
          <w:bottom w:val="nil"/>
          <w:right w:val="nil"/>
          <w:between w:val="nil"/>
        </w:pBdr>
        <w:spacing w:before="122" w:line="232" w:lineRule="auto"/>
        <w:ind w:left="850" w:right="28"/>
        <w:jc w:val="both"/>
        <w:rPr>
          <w:sz w:val="24"/>
          <w:szCs w:val="24"/>
        </w:rPr>
      </w:pPr>
      <w:r>
        <w:rPr>
          <w:sz w:val="24"/>
          <w:szCs w:val="24"/>
        </w:rPr>
        <w:t xml:space="preserve">Terceirizados que prestem serviços à instituidora, mantenedora ou patrocinadora, independente do número de trabalhadores, sendo fixada a responsabilidade pelo custeio do plano em face do empregado terceirizado e de seu empregador. </w:t>
      </w:r>
    </w:p>
    <w:p w14:paraId="0B49245E" w14:textId="77777777" w:rsidR="007776CA" w:rsidRDefault="00000000">
      <w:pPr>
        <w:pBdr>
          <w:top w:val="nil"/>
          <w:left w:val="nil"/>
          <w:bottom w:val="nil"/>
          <w:right w:val="nil"/>
          <w:between w:val="nil"/>
        </w:pBdr>
        <w:spacing w:before="122" w:line="232" w:lineRule="auto"/>
        <w:ind w:left="850" w:right="28"/>
        <w:jc w:val="both"/>
        <w:rPr>
          <w:sz w:val="24"/>
          <w:szCs w:val="24"/>
        </w:rPr>
      </w:pPr>
      <w:r>
        <w:rPr>
          <w:sz w:val="24"/>
          <w:szCs w:val="24"/>
        </w:rPr>
        <w:t>Perceba-se que atualmente grande parte das operadoras de autogestão vêm sofrendo com o aumento de idade dos seus beneficiários, sem que haja o ingresso de massa de trabalhadores jovens como contrapartida. Em grande parte, isso se deve ao aumento de terceirizados prestando serviços às instituidoras, mantenedoras ou patrocinadoras. Assim, ao possibilitar o ingresso de prestadores de serviços terceirizados, haverá consequentemente um ingresso de uma massa de trabalhadores de idade menos avançada na autogestão, o que logicamente implicará numa melhoria das condições de financiamento.</w:t>
      </w:r>
    </w:p>
    <w:p w14:paraId="1004EEA3" w14:textId="77777777" w:rsidR="007776CA" w:rsidRDefault="00000000">
      <w:pPr>
        <w:numPr>
          <w:ilvl w:val="0"/>
          <w:numId w:val="3"/>
        </w:numPr>
        <w:pBdr>
          <w:top w:val="nil"/>
          <w:left w:val="nil"/>
          <w:bottom w:val="nil"/>
          <w:right w:val="nil"/>
          <w:between w:val="nil"/>
        </w:pBdr>
        <w:spacing w:before="122" w:line="232" w:lineRule="auto"/>
        <w:ind w:left="850" w:right="28"/>
        <w:jc w:val="both"/>
        <w:rPr>
          <w:sz w:val="24"/>
          <w:szCs w:val="24"/>
        </w:rPr>
      </w:pPr>
      <w:r>
        <w:rPr>
          <w:sz w:val="24"/>
          <w:szCs w:val="24"/>
        </w:rPr>
        <w:t>Empregados e prestadores de serviços a empresas integrantes do mesmo grupo econômico da instituidora, mantenedora ou patrocinadora.</w:t>
      </w:r>
    </w:p>
    <w:p w14:paraId="28439771" w14:textId="77777777" w:rsidR="007776CA" w:rsidRDefault="00000000">
      <w:pPr>
        <w:pBdr>
          <w:top w:val="nil"/>
          <w:left w:val="nil"/>
          <w:bottom w:val="nil"/>
          <w:right w:val="nil"/>
          <w:between w:val="nil"/>
        </w:pBdr>
        <w:spacing w:before="122" w:line="232" w:lineRule="auto"/>
        <w:ind w:left="850" w:right="28"/>
        <w:jc w:val="both"/>
        <w:rPr>
          <w:sz w:val="24"/>
          <w:szCs w:val="24"/>
        </w:rPr>
      </w:pPr>
      <w:r>
        <w:rPr>
          <w:sz w:val="24"/>
          <w:szCs w:val="24"/>
        </w:rPr>
        <w:t>Na mesma linha do acima mencionado, eliminando-se as restrições impostas pela ANS ao ingresso de trabalhadores de empresas pertencentes ao mesmo grupo econômico da instituidora, mantenedora ou patrocinadora, entendemos que haverá um incremento da massa de beneficiários e, com isso, melhores condições de financiamento dos planos de autogestão.</w:t>
      </w:r>
    </w:p>
    <w:p w14:paraId="441594AE" w14:textId="77777777" w:rsidR="007776CA" w:rsidRDefault="00000000">
      <w:pPr>
        <w:numPr>
          <w:ilvl w:val="0"/>
          <w:numId w:val="4"/>
        </w:numPr>
        <w:pBdr>
          <w:top w:val="nil"/>
          <w:left w:val="nil"/>
          <w:bottom w:val="nil"/>
          <w:right w:val="nil"/>
          <w:between w:val="nil"/>
        </w:pBdr>
        <w:spacing w:before="122" w:line="232" w:lineRule="auto"/>
        <w:ind w:left="850" w:right="28"/>
        <w:jc w:val="both"/>
        <w:rPr>
          <w:sz w:val="24"/>
          <w:szCs w:val="24"/>
        </w:rPr>
      </w:pPr>
      <w:r>
        <w:rPr>
          <w:sz w:val="24"/>
          <w:szCs w:val="24"/>
        </w:rPr>
        <w:t>Além disso, entendemos que é necessário estabelecer mecanismos de garantia de manutenção dos inativos dentro da cobertura dos planos de saúde operados na modalidade de autogestão.</w:t>
      </w:r>
    </w:p>
    <w:p w14:paraId="0AF5ADC2" w14:textId="77777777" w:rsidR="007776CA" w:rsidRDefault="00000000">
      <w:pPr>
        <w:pBdr>
          <w:top w:val="nil"/>
          <w:left w:val="nil"/>
          <w:bottom w:val="nil"/>
          <w:right w:val="nil"/>
          <w:between w:val="nil"/>
        </w:pBdr>
        <w:spacing w:before="122" w:line="232" w:lineRule="auto"/>
        <w:ind w:left="850" w:right="28"/>
        <w:jc w:val="both"/>
        <w:rPr>
          <w:sz w:val="24"/>
          <w:szCs w:val="24"/>
        </w:rPr>
      </w:pPr>
      <w:r>
        <w:rPr>
          <w:sz w:val="24"/>
          <w:szCs w:val="24"/>
        </w:rPr>
        <w:t>Isso porque diversas políticas implementadas por instituidoras, mantenedoras ou patrocinadoras vêm tornando inviável a permanência dos inativos junto à autogestão, o que se dá de maneira afrontosa aos direitos de tais beneficiários, que se vêem privados da saúde suplementar justamente quando dela mais tenderão a necessitar.</w:t>
      </w:r>
    </w:p>
    <w:p w14:paraId="0E179717" w14:textId="77777777" w:rsidR="007776CA" w:rsidRDefault="00000000">
      <w:pPr>
        <w:numPr>
          <w:ilvl w:val="0"/>
          <w:numId w:val="2"/>
        </w:numPr>
        <w:pBdr>
          <w:top w:val="nil"/>
          <w:left w:val="nil"/>
          <w:bottom w:val="nil"/>
          <w:right w:val="nil"/>
          <w:between w:val="nil"/>
        </w:pBdr>
        <w:spacing w:before="122" w:line="232" w:lineRule="auto"/>
        <w:ind w:left="850" w:right="28"/>
        <w:jc w:val="both"/>
        <w:rPr>
          <w:sz w:val="24"/>
          <w:szCs w:val="24"/>
        </w:rPr>
      </w:pPr>
      <w:r>
        <w:rPr>
          <w:sz w:val="24"/>
          <w:szCs w:val="24"/>
        </w:rPr>
        <w:t>Por fim, também pessoas pertencentes ao grupo familiar dos beneficiários da autogestão, facultativamente elegíveis até o quarto grau de parentesco – consanguíneo ou por afinidade – englobadas as crianças ou adolescentes sob guarda, tutela ou curatela, além dos respectivos cônjuges ou companheiros.</w:t>
      </w:r>
    </w:p>
    <w:p w14:paraId="3A0BF5E4" w14:textId="77777777" w:rsidR="007776CA" w:rsidRDefault="00000000">
      <w:pPr>
        <w:pBdr>
          <w:top w:val="nil"/>
          <w:left w:val="nil"/>
          <w:bottom w:val="nil"/>
          <w:right w:val="nil"/>
          <w:between w:val="nil"/>
        </w:pBdr>
        <w:spacing w:before="122" w:line="232" w:lineRule="auto"/>
        <w:ind w:left="850" w:right="28"/>
        <w:jc w:val="both"/>
        <w:rPr>
          <w:sz w:val="24"/>
          <w:szCs w:val="24"/>
        </w:rPr>
      </w:pPr>
      <w:r>
        <w:rPr>
          <w:sz w:val="24"/>
          <w:szCs w:val="24"/>
        </w:rPr>
        <w:lastRenderedPageBreak/>
        <w:t>Esta medida, também, com vistas a ampliar a abrangência do segmento, bem assim a sua base de financiadores, a fim de garantir-se a sustentabilidade financeira dos planos.</w:t>
      </w:r>
    </w:p>
    <w:p w14:paraId="77E50FEE" w14:textId="77777777" w:rsidR="007776CA" w:rsidRDefault="007776CA">
      <w:pPr>
        <w:pBdr>
          <w:top w:val="nil"/>
          <w:left w:val="nil"/>
          <w:bottom w:val="nil"/>
          <w:right w:val="nil"/>
          <w:between w:val="nil"/>
        </w:pBdr>
        <w:spacing w:before="122" w:line="232" w:lineRule="auto"/>
        <w:ind w:left="850" w:right="28"/>
        <w:jc w:val="both"/>
        <w:rPr>
          <w:sz w:val="24"/>
          <w:szCs w:val="24"/>
        </w:rPr>
      </w:pPr>
    </w:p>
    <w:p w14:paraId="29A11114" w14:textId="77777777" w:rsidR="007776CA" w:rsidRDefault="00000000">
      <w:pPr>
        <w:pBdr>
          <w:top w:val="nil"/>
          <w:left w:val="nil"/>
          <w:bottom w:val="nil"/>
          <w:right w:val="nil"/>
          <w:between w:val="nil"/>
        </w:pBdr>
        <w:spacing w:before="115" w:line="331" w:lineRule="auto"/>
        <w:ind w:left="283" w:right="28"/>
        <w:jc w:val="both"/>
        <w:rPr>
          <w:b/>
          <w:color w:val="000000"/>
          <w:sz w:val="24"/>
          <w:szCs w:val="24"/>
        </w:rPr>
      </w:pPr>
      <w:r>
        <w:rPr>
          <w:b/>
          <w:color w:val="000000"/>
          <w:sz w:val="24"/>
          <w:szCs w:val="24"/>
        </w:rPr>
        <w:t xml:space="preserve">Em que condições os beneficiários da carteira de uma autogestão poderiam ser vinculados entre si? </w:t>
      </w:r>
    </w:p>
    <w:p w14:paraId="2318EA3C" w14:textId="77777777" w:rsidR="007776CA" w:rsidRDefault="00000000">
      <w:pPr>
        <w:pBdr>
          <w:top w:val="nil"/>
          <w:left w:val="nil"/>
          <w:bottom w:val="nil"/>
          <w:right w:val="nil"/>
          <w:between w:val="nil"/>
        </w:pBdr>
        <w:spacing w:before="115" w:line="331" w:lineRule="auto"/>
        <w:ind w:left="283" w:right="28" w:firstLine="566"/>
        <w:jc w:val="both"/>
        <w:rPr>
          <w:sz w:val="24"/>
          <w:szCs w:val="24"/>
        </w:rPr>
      </w:pPr>
      <w:r>
        <w:rPr>
          <w:sz w:val="24"/>
          <w:szCs w:val="24"/>
        </w:rPr>
        <w:t xml:space="preserve">Entendemos que a vinculação a ser analisada para fins de possibilidade de vinculação à autogestão deve perpassar uma análise do vínculo laboral (ativo ou inativo) estabelecido entre trabalhadores e instituidora, mantenedora ou patrocinadora. Perceba-se que este vínculo é de trabalho, e não somente de emprego. Assim, prestadores de serviços terceirizados, empregados, inativos e seus respectivos parentes poderiam ser aqui englobados. </w:t>
      </w:r>
    </w:p>
    <w:p w14:paraId="0DDEBB98" w14:textId="77777777" w:rsidR="007776CA" w:rsidRDefault="00000000">
      <w:pPr>
        <w:pBdr>
          <w:top w:val="nil"/>
          <w:left w:val="nil"/>
          <w:bottom w:val="nil"/>
          <w:right w:val="nil"/>
          <w:between w:val="nil"/>
        </w:pBdr>
        <w:spacing w:before="115" w:line="331" w:lineRule="auto"/>
        <w:ind w:left="283" w:right="28" w:firstLine="566"/>
        <w:jc w:val="both"/>
        <w:rPr>
          <w:sz w:val="24"/>
          <w:szCs w:val="24"/>
        </w:rPr>
      </w:pPr>
      <w:r>
        <w:rPr>
          <w:sz w:val="24"/>
          <w:szCs w:val="24"/>
        </w:rPr>
        <w:t>Além destes, tendo em conta a vinculação econômica e jurídica entre instituidora, mantenedora ou patrocinadora, também aquelas empresas porventura pertencentes ao mesmo grupo econômico, consoante acima mencionado e seus trabalhadores.</w:t>
      </w:r>
    </w:p>
    <w:p w14:paraId="34CF67BF" w14:textId="77777777" w:rsidR="007776CA" w:rsidRDefault="00000000">
      <w:pPr>
        <w:pBdr>
          <w:top w:val="nil"/>
          <w:left w:val="nil"/>
          <w:bottom w:val="nil"/>
          <w:right w:val="nil"/>
          <w:between w:val="nil"/>
        </w:pBdr>
        <w:spacing w:before="115" w:line="331" w:lineRule="auto"/>
        <w:ind w:left="283" w:right="28"/>
        <w:jc w:val="both"/>
        <w:rPr>
          <w:b/>
          <w:color w:val="000000"/>
          <w:sz w:val="24"/>
          <w:szCs w:val="24"/>
        </w:rPr>
      </w:pPr>
      <w:r>
        <w:rPr>
          <w:b/>
          <w:color w:val="000000"/>
          <w:sz w:val="24"/>
          <w:szCs w:val="24"/>
        </w:rPr>
        <w:t>A delimitação a uma categoria profissional se justifica? Qual justificativa fundamenta sua opinião?</w:t>
      </w:r>
    </w:p>
    <w:p w14:paraId="13CBE6B4" w14:textId="77777777" w:rsidR="007776CA" w:rsidRDefault="00000000">
      <w:pPr>
        <w:pBdr>
          <w:top w:val="nil"/>
          <w:left w:val="nil"/>
          <w:bottom w:val="nil"/>
          <w:right w:val="nil"/>
          <w:between w:val="nil"/>
        </w:pBdr>
        <w:spacing w:before="115" w:line="331" w:lineRule="auto"/>
        <w:ind w:left="283" w:right="28" w:firstLine="566"/>
        <w:jc w:val="both"/>
        <w:rPr>
          <w:sz w:val="24"/>
          <w:szCs w:val="24"/>
        </w:rPr>
      </w:pPr>
      <w:r>
        <w:rPr>
          <w:sz w:val="24"/>
          <w:szCs w:val="24"/>
        </w:rPr>
        <w:t>Entendemos que não se justifica. No caso, defendemos que o liame a ser verificado seja aquele referente à prestação de serviços à instituidora, mantenedora ou patrocinadora. Isso para pessoal da ativa ou inativos. O mesmo valendo no caso da vinculação entre empresas pertencentes ao mesmo grupo econômico que a instituidora, mantenedora ou patrocinadora.</w:t>
      </w:r>
    </w:p>
    <w:p w14:paraId="105E327A" w14:textId="77777777" w:rsidR="007776CA" w:rsidRDefault="007776CA">
      <w:pPr>
        <w:pBdr>
          <w:top w:val="nil"/>
          <w:left w:val="nil"/>
          <w:bottom w:val="nil"/>
          <w:right w:val="nil"/>
          <w:between w:val="nil"/>
        </w:pBdr>
        <w:spacing w:before="115" w:line="331" w:lineRule="auto"/>
        <w:ind w:left="283" w:right="28" w:firstLine="566"/>
        <w:jc w:val="both"/>
        <w:rPr>
          <w:sz w:val="24"/>
          <w:szCs w:val="24"/>
        </w:rPr>
      </w:pPr>
    </w:p>
    <w:p w14:paraId="08C336CF" w14:textId="77777777" w:rsidR="007776CA" w:rsidRDefault="00000000">
      <w:pPr>
        <w:pBdr>
          <w:top w:val="nil"/>
          <w:left w:val="nil"/>
          <w:bottom w:val="nil"/>
          <w:right w:val="nil"/>
          <w:between w:val="nil"/>
        </w:pBdr>
        <w:spacing w:before="8" w:line="232" w:lineRule="auto"/>
        <w:ind w:left="283" w:right="28"/>
        <w:jc w:val="both"/>
        <w:rPr>
          <w:b/>
          <w:color w:val="000000"/>
          <w:sz w:val="24"/>
          <w:szCs w:val="24"/>
        </w:rPr>
      </w:pPr>
      <w:r>
        <w:rPr>
          <w:b/>
          <w:color w:val="000000"/>
          <w:sz w:val="24"/>
          <w:szCs w:val="24"/>
        </w:rPr>
        <w:t>Qual(is) o(s) parâmetro(s) objetivo(s) poderia(m) ser estabelecido(s) pelo órgão regulador para caracterização de uma categoria profissional com vistas a sua classificação como autogestão na saúde suplementar?</w:t>
      </w:r>
    </w:p>
    <w:p w14:paraId="441A576D" w14:textId="77777777" w:rsidR="007776CA" w:rsidRDefault="00000000">
      <w:pPr>
        <w:pBdr>
          <w:top w:val="nil"/>
          <w:left w:val="nil"/>
          <w:bottom w:val="nil"/>
          <w:right w:val="nil"/>
          <w:between w:val="nil"/>
        </w:pBdr>
        <w:spacing w:before="8" w:line="232" w:lineRule="auto"/>
        <w:ind w:left="283" w:right="28" w:firstLine="566"/>
        <w:jc w:val="both"/>
        <w:rPr>
          <w:sz w:val="24"/>
          <w:szCs w:val="24"/>
        </w:rPr>
      </w:pPr>
      <w:r>
        <w:rPr>
          <w:sz w:val="24"/>
          <w:szCs w:val="24"/>
        </w:rPr>
        <w:t>Entendemos que os parâmetros são os que seguem:</w:t>
      </w:r>
    </w:p>
    <w:p w14:paraId="4198BB3A" w14:textId="77777777" w:rsidR="007776CA" w:rsidRDefault="00000000">
      <w:pPr>
        <w:numPr>
          <w:ilvl w:val="0"/>
          <w:numId w:val="6"/>
        </w:numPr>
        <w:pBdr>
          <w:top w:val="nil"/>
          <w:left w:val="nil"/>
          <w:bottom w:val="nil"/>
          <w:right w:val="nil"/>
          <w:between w:val="nil"/>
        </w:pBdr>
        <w:spacing w:before="8" w:line="232" w:lineRule="auto"/>
        <w:ind w:right="28"/>
        <w:jc w:val="both"/>
        <w:rPr>
          <w:sz w:val="24"/>
          <w:szCs w:val="24"/>
        </w:rPr>
      </w:pPr>
      <w:r>
        <w:rPr>
          <w:sz w:val="24"/>
          <w:szCs w:val="24"/>
        </w:rPr>
        <w:t>Pessoal da ativa ou inativos da instituidora, mantenedora ou patrocinadora;</w:t>
      </w:r>
    </w:p>
    <w:p w14:paraId="1B53769D" w14:textId="77777777" w:rsidR="007776CA" w:rsidRDefault="00000000">
      <w:pPr>
        <w:numPr>
          <w:ilvl w:val="0"/>
          <w:numId w:val="6"/>
        </w:numPr>
        <w:pBdr>
          <w:top w:val="nil"/>
          <w:left w:val="nil"/>
          <w:bottom w:val="nil"/>
          <w:right w:val="nil"/>
          <w:between w:val="nil"/>
        </w:pBdr>
        <w:spacing w:line="232" w:lineRule="auto"/>
        <w:ind w:right="28"/>
        <w:jc w:val="both"/>
        <w:rPr>
          <w:sz w:val="24"/>
          <w:szCs w:val="24"/>
        </w:rPr>
      </w:pPr>
      <w:r>
        <w:rPr>
          <w:sz w:val="24"/>
          <w:szCs w:val="24"/>
        </w:rPr>
        <w:t>Pessoal da ativa ou inativos de empresas ligadas ao mesmo grupo econômico da instituidora, mantenedora ou patrocinadora;</w:t>
      </w:r>
    </w:p>
    <w:p w14:paraId="6BFA3701" w14:textId="77777777" w:rsidR="007776CA" w:rsidRDefault="00000000">
      <w:pPr>
        <w:numPr>
          <w:ilvl w:val="0"/>
          <w:numId w:val="6"/>
        </w:numPr>
        <w:pBdr>
          <w:top w:val="nil"/>
          <w:left w:val="nil"/>
          <w:bottom w:val="nil"/>
          <w:right w:val="nil"/>
          <w:between w:val="nil"/>
        </w:pBdr>
        <w:spacing w:line="232" w:lineRule="auto"/>
        <w:ind w:right="28"/>
        <w:jc w:val="both"/>
        <w:rPr>
          <w:sz w:val="24"/>
          <w:szCs w:val="24"/>
        </w:rPr>
      </w:pPr>
      <w:r>
        <w:rPr>
          <w:sz w:val="24"/>
          <w:szCs w:val="24"/>
        </w:rPr>
        <w:t>Terceirizados que prestem serviços a qualquer destas;</w:t>
      </w:r>
    </w:p>
    <w:p w14:paraId="791D169F" w14:textId="77777777" w:rsidR="007776CA" w:rsidRDefault="00000000">
      <w:pPr>
        <w:numPr>
          <w:ilvl w:val="0"/>
          <w:numId w:val="6"/>
        </w:numPr>
        <w:pBdr>
          <w:top w:val="nil"/>
          <w:left w:val="nil"/>
          <w:bottom w:val="nil"/>
          <w:right w:val="nil"/>
          <w:between w:val="nil"/>
        </w:pBdr>
        <w:spacing w:line="232" w:lineRule="auto"/>
        <w:ind w:right="28"/>
        <w:jc w:val="both"/>
        <w:rPr>
          <w:sz w:val="24"/>
          <w:szCs w:val="24"/>
        </w:rPr>
      </w:pPr>
      <w:r>
        <w:rPr>
          <w:sz w:val="24"/>
          <w:szCs w:val="24"/>
        </w:rPr>
        <w:t xml:space="preserve">Parentes, até o quarto grau, por afetividade ou consanguinidade, de qualquer das pessoas acima listadas. </w:t>
      </w:r>
    </w:p>
    <w:p w14:paraId="6BF9DC4D" w14:textId="77777777" w:rsidR="007776CA" w:rsidRDefault="00000000">
      <w:pPr>
        <w:pBdr>
          <w:top w:val="nil"/>
          <w:left w:val="nil"/>
          <w:bottom w:val="nil"/>
          <w:right w:val="nil"/>
          <w:between w:val="nil"/>
        </w:pBdr>
        <w:tabs>
          <w:tab w:val="left" w:pos="834"/>
        </w:tabs>
        <w:spacing w:before="236"/>
        <w:ind w:left="283" w:right="28"/>
        <w:jc w:val="both"/>
        <w:rPr>
          <w:b/>
          <w:color w:val="000000"/>
          <w:sz w:val="24"/>
          <w:szCs w:val="24"/>
          <w:u w:val="single"/>
        </w:rPr>
      </w:pPr>
      <w:r>
        <w:rPr>
          <w:noProof/>
          <w:color w:val="000000"/>
          <w:sz w:val="24"/>
          <w:szCs w:val="24"/>
        </w:rPr>
        <w:drawing>
          <wp:inline distT="0" distB="0" distL="0" distR="0" wp14:anchorId="4FB16CEA" wp14:editId="64AC34DB">
            <wp:extent cx="47625" cy="47624"/>
            <wp:effectExtent l="0" t="0" r="0" b="0"/>
            <wp:docPr id="3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47625" cy="47624"/>
                    </a:xfrm>
                    <a:prstGeom prst="rect">
                      <a:avLst/>
                    </a:prstGeom>
                    <a:ln/>
                  </pic:spPr>
                </pic:pic>
              </a:graphicData>
            </a:graphic>
          </wp:inline>
        </w:drawing>
      </w:r>
      <w:r>
        <w:rPr>
          <w:rFonts w:ascii="Times New Roman" w:eastAsia="Times New Roman" w:hAnsi="Times New Roman" w:cs="Times New Roman"/>
          <w:color w:val="000000"/>
          <w:sz w:val="24"/>
          <w:szCs w:val="24"/>
        </w:rPr>
        <w:tab/>
      </w:r>
      <w:r>
        <w:rPr>
          <w:b/>
          <w:color w:val="000000"/>
          <w:sz w:val="24"/>
          <w:szCs w:val="24"/>
          <w:u w:val="single"/>
        </w:rPr>
        <w:t>Correlação de atividades entre patrocinador e grupo</w:t>
      </w:r>
    </w:p>
    <w:p w14:paraId="6B8570A1" w14:textId="77777777" w:rsidR="007776CA" w:rsidRDefault="00000000">
      <w:pPr>
        <w:pBdr>
          <w:top w:val="nil"/>
          <w:left w:val="nil"/>
          <w:bottom w:val="nil"/>
          <w:right w:val="nil"/>
          <w:between w:val="nil"/>
        </w:pBdr>
        <w:spacing w:before="239" w:line="232" w:lineRule="auto"/>
        <w:ind w:left="283" w:right="28"/>
        <w:jc w:val="both"/>
        <w:rPr>
          <w:b/>
          <w:color w:val="000000"/>
          <w:sz w:val="24"/>
          <w:szCs w:val="24"/>
        </w:rPr>
      </w:pPr>
      <w:r>
        <w:rPr>
          <w:b/>
          <w:color w:val="000000"/>
          <w:sz w:val="24"/>
          <w:szCs w:val="24"/>
        </w:rPr>
        <w:t>A restrição à correlação de atividades entre o patrocinador e o grupo patrocinado ainda se justifica nas autogestões? Qual justificativa fundamenta sua decisão?</w:t>
      </w:r>
    </w:p>
    <w:p w14:paraId="793EB7A9" w14:textId="77777777" w:rsidR="007776CA" w:rsidRDefault="00000000">
      <w:pPr>
        <w:pBdr>
          <w:top w:val="nil"/>
          <w:left w:val="nil"/>
          <w:bottom w:val="nil"/>
          <w:right w:val="nil"/>
          <w:between w:val="nil"/>
        </w:pBdr>
        <w:spacing w:before="239" w:line="232" w:lineRule="auto"/>
        <w:ind w:left="283" w:right="28" w:firstLine="566"/>
        <w:jc w:val="both"/>
        <w:rPr>
          <w:sz w:val="24"/>
          <w:szCs w:val="24"/>
        </w:rPr>
      </w:pPr>
      <w:r>
        <w:rPr>
          <w:sz w:val="24"/>
          <w:szCs w:val="24"/>
        </w:rPr>
        <w:t>Entendemos que a regra atualmente vigente é demasiadamente restritiva, merecendo ser abrandada para viabilizar o ingresso dos grupos acima citados.</w:t>
      </w:r>
    </w:p>
    <w:p w14:paraId="7618D33D" w14:textId="77777777" w:rsidR="007776CA" w:rsidRDefault="00000000">
      <w:pPr>
        <w:pBdr>
          <w:top w:val="nil"/>
          <w:left w:val="nil"/>
          <w:bottom w:val="nil"/>
          <w:right w:val="nil"/>
          <w:between w:val="nil"/>
        </w:pBdr>
        <w:spacing w:before="239" w:line="232" w:lineRule="auto"/>
        <w:ind w:left="283" w:right="28" w:firstLine="566"/>
        <w:jc w:val="both"/>
        <w:rPr>
          <w:sz w:val="24"/>
          <w:szCs w:val="24"/>
        </w:rPr>
      </w:pPr>
      <w:r>
        <w:rPr>
          <w:sz w:val="24"/>
          <w:szCs w:val="24"/>
        </w:rPr>
        <w:t>Todavia, entendemos que é necessária alguma restrição, a fim de que haja, necessariamente, vinculação entre patrocinador e beneficiários, bem como que subsista a gestão compartilhada por parte do instituidor, mantenedor ou patrocinador e dos beneficiários.</w:t>
      </w:r>
    </w:p>
    <w:p w14:paraId="316CCD50" w14:textId="77777777" w:rsidR="007776CA" w:rsidRDefault="00000000">
      <w:pPr>
        <w:pBdr>
          <w:top w:val="nil"/>
          <w:left w:val="nil"/>
          <w:bottom w:val="nil"/>
          <w:right w:val="nil"/>
          <w:between w:val="nil"/>
        </w:pBdr>
        <w:spacing w:before="121" w:line="232" w:lineRule="auto"/>
        <w:ind w:left="283" w:right="28"/>
        <w:jc w:val="both"/>
        <w:rPr>
          <w:b/>
          <w:color w:val="000000"/>
          <w:sz w:val="24"/>
          <w:szCs w:val="24"/>
        </w:rPr>
      </w:pPr>
      <w:r>
        <w:rPr>
          <w:b/>
          <w:color w:val="000000"/>
          <w:sz w:val="24"/>
          <w:szCs w:val="24"/>
        </w:rPr>
        <w:lastRenderedPageBreak/>
        <w:t>Em que condições patrocinadores com características diversas do grupo poderiam participar do custeio do plano de saúde de beneficiários de uma autogestão, sem descaracterizar a natureza da modalidade?</w:t>
      </w:r>
    </w:p>
    <w:p w14:paraId="360D3D2C" w14:textId="77777777" w:rsidR="007776CA" w:rsidRDefault="00000000">
      <w:pPr>
        <w:pBdr>
          <w:top w:val="nil"/>
          <w:left w:val="nil"/>
          <w:bottom w:val="nil"/>
          <w:right w:val="nil"/>
          <w:between w:val="nil"/>
        </w:pBdr>
        <w:spacing w:before="121" w:line="232" w:lineRule="auto"/>
        <w:ind w:left="283" w:right="28" w:firstLine="566"/>
        <w:jc w:val="both"/>
        <w:rPr>
          <w:sz w:val="24"/>
          <w:szCs w:val="24"/>
        </w:rPr>
      </w:pPr>
      <w:r>
        <w:rPr>
          <w:sz w:val="24"/>
          <w:szCs w:val="24"/>
        </w:rPr>
        <w:t>Por meio do estabelecimento de um tempo mínimo de vínculo entre os patrocinadores e a entidade de autogestão, a fim de se evitar a exploração deste segmento por entidades descompromissadas com a perenidade da autogestão em relação a seus beneficiários e com a sustentabilidade financeira de seus planos.</w:t>
      </w:r>
    </w:p>
    <w:p w14:paraId="34F082EC" w14:textId="77777777" w:rsidR="007776CA" w:rsidRDefault="007776CA">
      <w:pPr>
        <w:pBdr>
          <w:top w:val="nil"/>
          <w:left w:val="nil"/>
          <w:bottom w:val="nil"/>
          <w:right w:val="nil"/>
          <w:between w:val="nil"/>
        </w:pBdr>
        <w:spacing w:before="121" w:line="232" w:lineRule="auto"/>
        <w:ind w:left="283" w:right="28"/>
        <w:jc w:val="both"/>
        <w:rPr>
          <w:sz w:val="24"/>
          <w:szCs w:val="24"/>
        </w:rPr>
      </w:pPr>
    </w:p>
    <w:p w14:paraId="09DB6B95" w14:textId="77777777" w:rsidR="007776CA" w:rsidRDefault="00000000">
      <w:pPr>
        <w:pBdr>
          <w:top w:val="nil"/>
          <w:left w:val="nil"/>
          <w:bottom w:val="nil"/>
          <w:right w:val="nil"/>
          <w:between w:val="nil"/>
        </w:pBdr>
        <w:spacing w:before="122" w:line="232" w:lineRule="auto"/>
        <w:ind w:left="283" w:right="28"/>
        <w:jc w:val="both"/>
        <w:rPr>
          <w:b/>
          <w:color w:val="000000"/>
          <w:sz w:val="24"/>
          <w:szCs w:val="24"/>
        </w:rPr>
      </w:pPr>
      <w:r>
        <w:rPr>
          <w:b/>
          <w:color w:val="000000"/>
          <w:sz w:val="24"/>
          <w:szCs w:val="24"/>
        </w:rPr>
        <w:t>Qual(is) o(s) parâmetro(s) objetivo(s) poderia(m) ser estabelecido(s) pelo órgão regulador para caracterização da correlação de atividades entre patrocinadores de autogestões na saúde suplementar?</w:t>
      </w:r>
    </w:p>
    <w:p w14:paraId="41BAF06C" w14:textId="77777777" w:rsidR="007776CA" w:rsidRDefault="007776CA">
      <w:pPr>
        <w:pBdr>
          <w:top w:val="nil"/>
          <w:left w:val="nil"/>
          <w:bottom w:val="nil"/>
          <w:right w:val="nil"/>
          <w:between w:val="nil"/>
        </w:pBdr>
        <w:spacing w:before="122" w:line="232" w:lineRule="auto"/>
        <w:ind w:left="283" w:right="28"/>
        <w:jc w:val="both"/>
        <w:rPr>
          <w:sz w:val="24"/>
          <w:szCs w:val="24"/>
        </w:rPr>
      </w:pPr>
    </w:p>
    <w:p w14:paraId="3BA6290A" w14:textId="77777777" w:rsidR="007776CA" w:rsidRDefault="00000000">
      <w:pPr>
        <w:pBdr>
          <w:top w:val="nil"/>
          <w:left w:val="nil"/>
          <w:bottom w:val="nil"/>
          <w:right w:val="nil"/>
          <w:between w:val="nil"/>
        </w:pBdr>
        <w:tabs>
          <w:tab w:val="left" w:pos="834"/>
        </w:tabs>
        <w:spacing w:before="235"/>
        <w:ind w:left="283" w:right="28"/>
        <w:jc w:val="both"/>
        <w:rPr>
          <w:b/>
          <w:color w:val="000000"/>
          <w:sz w:val="24"/>
          <w:szCs w:val="24"/>
          <w:u w:val="single"/>
        </w:rPr>
      </w:pPr>
      <w:r>
        <w:rPr>
          <w:b/>
          <w:noProof/>
          <w:color w:val="000000"/>
          <w:sz w:val="24"/>
          <w:szCs w:val="24"/>
        </w:rPr>
        <w:drawing>
          <wp:inline distT="0" distB="0" distL="0" distR="0" wp14:anchorId="3D74AC52" wp14:editId="40039BCF">
            <wp:extent cx="47625" cy="47624"/>
            <wp:effectExtent l="0" t="0" r="0" b="0"/>
            <wp:docPr id="3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47625" cy="47624"/>
                    </a:xfrm>
                    <a:prstGeom prst="rect">
                      <a:avLst/>
                    </a:prstGeom>
                    <a:ln/>
                  </pic:spPr>
                </pic:pic>
              </a:graphicData>
            </a:graphic>
          </wp:inline>
        </w:drawing>
      </w:r>
      <w:r>
        <w:rPr>
          <w:rFonts w:ascii="Times New Roman" w:eastAsia="Times New Roman" w:hAnsi="Times New Roman" w:cs="Times New Roman"/>
          <w:b/>
          <w:color w:val="000000"/>
          <w:sz w:val="24"/>
          <w:szCs w:val="24"/>
        </w:rPr>
        <w:tab/>
      </w:r>
      <w:r>
        <w:rPr>
          <w:b/>
          <w:color w:val="000000"/>
          <w:sz w:val="24"/>
          <w:szCs w:val="24"/>
          <w:u w:val="single"/>
        </w:rPr>
        <w:t>Participação dos beneficiários</w:t>
      </w:r>
    </w:p>
    <w:p w14:paraId="70813B3F" w14:textId="77777777" w:rsidR="007776CA" w:rsidRDefault="00000000">
      <w:pPr>
        <w:pBdr>
          <w:top w:val="nil"/>
          <w:left w:val="nil"/>
          <w:bottom w:val="nil"/>
          <w:right w:val="nil"/>
          <w:between w:val="nil"/>
        </w:pBdr>
        <w:spacing w:before="239" w:line="232" w:lineRule="auto"/>
        <w:ind w:left="283" w:right="28"/>
        <w:jc w:val="both"/>
        <w:rPr>
          <w:b/>
          <w:sz w:val="24"/>
          <w:szCs w:val="24"/>
        </w:rPr>
      </w:pPr>
      <w:r>
        <w:rPr>
          <w:b/>
          <w:color w:val="000000"/>
          <w:sz w:val="24"/>
          <w:szCs w:val="24"/>
        </w:rPr>
        <w:t>A regulamentação que temos hoje é suficiente para garantir a participação de todos os beneficiários (nas decisões de uma autogestão)? Qual justificativa fundamenta sua opinião?</w:t>
      </w:r>
    </w:p>
    <w:p w14:paraId="28CADF31" w14:textId="77777777" w:rsidR="007776CA" w:rsidRDefault="00000000">
      <w:pPr>
        <w:pBdr>
          <w:top w:val="nil"/>
          <w:left w:val="nil"/>
          <w:bottom w:val="nil"/>
          <w:right w:val="nil"/>
          <w:between w:val="nil"/>
        </w:pBdr>
        <w:spacing w:before="239" w:line="232" w:lineRule="auto"/>
        <w:ind w:left="283" w:right="28" w:firstLine="566"/>
        <w:jc w:val="both"/>
        <w:rPr>
          <w:sz w:val="24"/>
          <w:szCs w:val="24"/>
        </w:rPr>
      </w:pPr>
      <w:r>
        <w:rPr>
          <w:sz w:val="24"/>
          <w:szCs w:val="24"/>
        </w:rPr>
        <w:t>Não, a regulamentação atual não é suficiente para garantir a participação de todos os beneficiários nas decisões de uma autogestão, como evidenciado pela necessidade de novas estruturas de governança e maior transparência.</w:t>
      </w:r>
    </w:p>
    <w:p w14:paraId="09E125A8" w14:textId="77777777" w:rsidR="007776CA" w:rsidRDefault="00000000">
      <w:pPr>
        <w:pBdr>
          <w:top w:val="nil"/>
          <w:left w:val="nil"/>
          <w:bottom w:val="nil"/>
          <w:right w:val="nil"/>
          <w:between w:val="nil"/>
        </w:pBdr>
        <w:spacing w:before="239" w:line="232" w:lineRule="auto"/>
        <w:ind w:left="283" w:right="28" w:firstLine="566"/>
        <w:jc w:val="both"/>
        <w:rPr>
          <w:sz w:val="24"/>
          <w:szCs w:val="24"/>
        </w:rPr>
      </w:pPr>
      <w:r>
        <w:rPr>
          <w:sz w:val="24"/>
          <w:szCs w:val="24"/>
        </w:rPr>
        <w:t>Para além da criação de novas estruturas de governança obrigatórias, também se faz necessário assegurar a participação dos beneficiários no processo de tomada de decisões por parte de tais instâncias. Deste modo, entendemos que é necessário assegurar minimamente a paridade na composição das estruturas decisórias, a fim de corrigir a assimetria de poder existente atualmente entre instituidoras, mantenedoras ou patrocinadoras e beneficiários.</w:t>
      </w:r>
    </w:p>
    <w:p w14:paraId="1D6E631E" w14:textId="77777777" w:rsidR="007776CA" w:rsidRDefault="00000000">
      <w:pPr>
        <w:pBdr>
          <w:top w:val="nil"/>
          <w:left w:val="nil"/>
          <w:bottom w:val="nil"/>
          <w:right w:val="nil"/>
          <w:between w:val="nil"/>
        </w:pBdr>
        <w:spacing w:before="239" w:line="232" w:lineRule="auto"/>
        <w:ind w:left="283" w:right="28" w:firstLine="566"/>
        <w:jc w:val="both"/>
        <w:rPr>
          <w:sz w:val="24"/>
          <w:szCs w:val="24"/>
        </w:rPr>
      </w:pPr>
      <w:r>
        <w:rPr>
          <w:sz w:val="24"/>
          <w:szCs w:val="24"/>
        </w:rPr>
        <w:t>Ou seja, este patamar mínimo visa, por um lado, garantir a representatividade dos beneficiários e, por outro, garantir que estes possam influir na tomada de decisão sobre os rumos da autogestão que lhes é tão importante.</w:t>
      </w:r>
    </w:p>
    <w:p w14:paraId="2EDD3B82" w14:textId="77777777" w:rsidR="007776CA" w:rsidRDefault="00000000">
      <w:pPr>
        <w:pBdr>
          <w:top w:val="nil"/>
          <w:left w:val="nil"/>
          <w:bottom w:val="nil"/>
          <w:right w:val="nil"/>
          <w:between w:val="nil"/>
        </w:pBdr>
        <w:spacing w:before="239" w:line="232" w:lineRule="auto"/>
        <w:ind w:left="283" w:right="28" w:firstLine="566"/>
        <w:jc w:val="both"/>
        <w:rPr>
          <w:sz w:val="24"/>
          <w:szCs w:val="24"/>
        </w:rPr>
      </w:pPr>
      <w:r>
        <w:rPr>
          <w:sz w:val="24"/>
          <w:szCs w:val="24"/>
        </w:rPr>
        <w:t>Além disso, especificamente na modalidade de autogestão por departamento de recursos humanos, há completa ausência de participação dos beneficiários na tomada de decisão sobre os rumos da autogestão, pelo que, neste ponto, aqui também se mostra premente a adoção de mecanismos de participação dos beneficiários.</w:t>
      </w:r>
    </w:p>
    <w:p w14:paraId="7840BA3F" w14:textId="77777777" w:rsidR="007776CA" w:rsidRDefault="00000000">
      <w:pPr>
        <w:pBdr>
          <w:top w:val="nil"/>
          <w:left w:val="nil"/>
          <w:bottom w:val="nil"/>
          <w:right w:val="nil"/>
          <w:between w:val="nil"/>
        </w:pBdr>
        <w:spacing w:before="239" w:line="232" w:lineRule="auto"/>
        <w:ind w:left="283" w:right="28" w:firstLine="566"/>
        <w:jc w:val="both"/>
        <w:rPr>
          <w:sz w:val="24"/>
          <w:szCs w:val="24"/>
        </w:rPr>
      </w:pPr>
      <w:r>
        <w:rPr>
          <w:sz w:val="24"/>
          <w:szCs w:val="24"/>
        </w:rPr>
        <w:t>Portanto, defendemos que sejam instituídos parâmetros mínimos de participação dos beneficiários nas instâncias decisórias das autogestões, e isso com efetivo poder de influir nas decisões tomadas. Ou seja, tais mecanismos não devem se prestar a uma participação meramente consultiva</w:t>
      </w:r>
      <w:r>
        <w:rPr>
          <w:i/>
          <w:sz w:val="24"/>
          <w:szCs w:val="24"/>
        </w:rPr>
        <w:t xml:space="preserve">, </w:t>
      </w:r>
      <w:r>
        <w:rPr>
          <w:sz w:val="24"/>
          <w:szCs w:val="24"/>
        </w:rPr>
        <w:t>e sim, a uma participação deliberativa.</w:t>
      </w:r>
    </w:p>
    <w:p w14:paraId="663602CA" w14:textId="77777777" w:rsidR="007776CA" w:rsidRDefault="007776CA">
      <w:pPr>
        <w:pBdr>
          <w:top w:val="nil"/>
          <w:left w:val="nil"/>
          <w:bottom w:val="nil"/>
          <w:right w:val="nil"/>
          <w:between w:val="nil"/>
        </w:pBdr>
        <w:spacing w:before="48" w:line="232" w:lineRule="auto"/>
        <w:ind w:left="283" w:right="28"/>
        <w:jc w:val="both"/>
        <w:rPr>
          <w:sz w:val="24"/>
          <w:szCs w:val="24"/>
        </w:rPr>
      </w:pPr>
    </w:p>
    <w:p w14:paraId="4115DB9F" w14:textId="77777777" w:rsidR="007776CA" w:rsidRDefault="00000000">
      <w:pPr>
        <w:pBdr>
          <w:top w:val="nil"/>
          <w:left w:val="nil"/>
          <w:bottom w:val="nil"/>
          <w:right w:val="nil"/>
          <w:between w:val="nil"/>
        </w:pBdr>
        <w:spacing w:before="48" w:line="232" w:lineRule="auto"/>
        <w:ind w:left="283" w:right="28"/>
        <w:jc w:val="both"/>
        <w:rPr>
          <w:b/>
          <w:sz w:val="24"/>
          <w:szCs w:val="24"/>
        </w:rPr>
      </w:pPr>
      <w:r>
        <w:rPr>
          <w:b/>
          <w:sz w:val="24"/>
          <w:szCs w:val="24"/>
        </w:rPr>
        <w:t>Se não, quais outras garantias poderiam tornar efetiva a participação dos beneficiários (nas decisões de uma autogestão)?</w:t>
      </w:r>
    </w:p>
    <w:p w14:paraId="7E972D3D" w14:textId="77777777" w:rsidR="007776CA" w:rsidRDefault="007776CA">
      <w:pPr>
        <w:pBdr>
          <w:top w:val="nil"/>
          <w:left w:val="nil"/>
          <w:bottom w:val="nil"/>
          <w:right w:val="nil"/>
          <w:between w:val="nil"/>
        </w:pBdr>
        <w:spacing w:before="48" w:line="232" w:lineRule="auto"/>
        <w:ind w:left="283" w:right="28"/>
        <w:jc w:val="both"/>
        <w:rPr>
          <w:sz w:val="24"/>
          <w:szCs w:val="24"/>
        </w:rPr>
      </w:pPr>
    </w:p>
    <w:p w14:paraId="08AF6C22" w14:textId="77777777" w:rsidR="007776CA" w:rsidRDefault="007776CA">
      <w:pPr>
        <w:pBdr>
          <w:top w:val="nil"/>
          <w:left w:val="nil"/>
          <w:bottom w:val="nil"/>
          <w:right w:val="nil"/>
          <w:between w:val="nil"/>
        </w:pBdr>
        <w:spacing w:before="48" w:line="232" w:lineRule="auto"/>
        <w:ind w:right="28"/>
        <w:jc w:val="both"/>
        <w:rPr>
          <w:sz w:val="24"/>
          <w:szCs w:val="24"/>
        </w:rPr>
      </w:pPr>
    </w:p>
    <w:p w14:paraId="4CD40847" w14:textId="77777777" w:rsidR="007776CA" w:rsidRDefault="00000000">
      <w:pPr>
        <w:pBdr>
          <w:top w:val="nil"/>
          <w:left w:val="nil"/>
          <w:bottom w:val="nil"/>
          <w:right w:val="nil"/>
          <w:between w:val="nil"/>
        </w:pBdr>
        <w:spacing w:before="48" w:line="232" w:lineRule="auto"/>
        <w:ind w:left="283" w:right="28" w:firstLine="566"/>
        <w:jc w:val="both"/>
        <w:rPr>
          <w:sz w:val="24"/>
          <w:szCs w:val="24"/>
        </w:rPr>
      </w:pPr>
      <w:r>
        <w:rPr>
          <w:sz w:val="24"/>
          <w:szCs w:val="24"/>
        </w:rPr>
        <w:t xml:space="preserve">Observadas as especificidades distintivas da autogestão, relativamente às demais modalidades de assistência à saúde suplementar, tem-se que a normatização que lhes é aplicável deve disciplinar as atividades por estas prestadas em documento próprio, o qual deverá minimamente observar os seguintes </w:t>
      </w:r>
      <w:r>
        <w:rPr>
          <w:sz w:val="24"/>
          <w:szCs w:val="24"/>
        </w:rPr>
        <w:lastRenderedPageBreak/>
        <w:t xml:space="preserve">parâmetros: </w:t>
      </w:r>
    </w:p>
    <w:p w14:paraId="7D4E60E8" w14:textId="77777777" w:rsidR="007776CA" w:rsidRDefault="00000000">
      <w:pPr>
        <w:numPr>
          <w:ilvl w:val="0"/>
          <w:numId w:val="7"/>
        </w:numPr>
        <w:pBdr>
          <w:top w:val="nil"/>
          <w:left w:val="nil"/>
          <w:bottom w:val="nil"/>
          <w:right w:val="nil"/>
          <w:between w:val="nil"/>
        </w:pBdr>
        <w:spacing w:before="48" w:line="232" w:lineRule="auto"/>
        <w:ind w:left="1417" w:right="28" w:hanging="425"/>
        <w:jc w:val="both"/>
        <w:rPr>
          <w:sz w:val="24"/>
          <w:szCs w:val="24"/>
        </w:rPr>
      </w:pPr>
      <w:r>
        <w:rPr>
          <w:sz w:val="24"/>
          <w:szCs w:val="24"/>
        </w:rPr>
        <w:t>Garantia da gestão compartilhada e minimamente paritária entre instituidores, mantenedores ou patrocinadores e beneficiários das operadoras de planos de assistência à saúde que operam sob a modalidade de autogestão, ressalvada a existência de composição mais benéfica à representação dos beneficiários;</w:t>
      </w:r>
    </w:p>
    <w:p w14:paraId="42E8B1AC" w14:textId="77777777" w:rsidR="007776CA" w:rsidRDefault="00000000">
      <w:pPr>
        <w:numPr>
          <w:ilvl w:val="0"/>
          <w:numId w:val="7"/>
        </w:numPr>
        <w:spacing w:line="232" w:lineRule="auto"/>
        <w:ind w:right="28"/>
        <w:jc w:val="both"/>
        <w:rPr>
          <w:sz w:val="24"/>
          <w:szCs w:val="24"/>
        </w:rPr>
      </w:pPr>
      <w:r>
        <w:rPr>
          <w:sz w:val="24"/>
          <w:szCs w:val="24"/>
        </w:rPr>
        <w:t>Manutenção da natureza coletiva e mutualista dos planos, fortalecendo o pacto intergeracional;</w:t>
      </w:r>
    </w:p>
    <w:p w14:paraId="73F4E408" w14:textId="77777777" w:rsidR="007776CA" w:rsidRDefault="00000000">
      <w:pPr>
        <w:numPr>
          <w:ilvl w:val="0"/>
          <w:numId w:val="7"/>
        </w:numPr>
        <w:spacing w:line="232" w:lineRule="auto"/>
        <w:ind w:right="28"/>
        <w:jc w:val="both"/>
        <w:rPr>
          <w:sz w:val="24"/>
          <w:szCs w:val="24"/>
        </w:rPr>
      </w:pPr>
      <w:r>
        <w:rPr>
          <w:sz w:val="24"/>
          <w:szCs w:val="24"/>
        </w:rPr>
        <w:t>Definição dos públicos que possam ser alcançados pelas entidades de saúde suplementar de autogestão;</w:t>
      </w:r>
    </w:p>
    <w:p w14:paraId="14DCEADD" w14:textId="77777777" w:rsidR="007776CA" w:rsidRDefault="00000000">
      <w:pPr>
        <w:numPr>
          <w:ilvl w:val="0"/>
          <w:numId w:val="7"/>
        </w:numPr>
        <w:spacing w:line="232" w:lineRule="auto"/>
        <w:ind w:right="28"/>
        <w:jc w:val="both"/>
        <w:rPr>
          <w:sz w:val="24"/>
          <w:szCs w:val="24"/>
        </w:rPr>
      </w:pPr>
      <w:r>
        <w:rPr>
          <w:sz w:val="24"/>
          <w:szCs w:val="24"/>
        </w:rPr>
        <w:t>Estabelecimento de regras para que as coberturas e os tratamentos disponibilizados pelas redes credenciadas não sofram redução injustificada;</w:t>
      </w:r>
    </w:p>
    <w:p w14:paraId="7A2ADFBF" w14:textId="77777777" w:rsidR="007776CA" w:rsidRDefault="00000000">
      <w:pPr>
        <w:numPr>
          <w:ilvl w:val="0"/>
          <w:numId w:val="7"/>
        </w:numPr>
        <w:spacing w:line="232" w:lineRule="auto"/>
        <w:ind w:right="28"/>
        <w:jc w:val="both"/>
        <w:rPr>
          <w:sz w:val="24"/>
          <w:szCs w:val="24"/>
        </w:rPr>
      </w:pPr>
      <w:r>
        <w:rPr>
          <w:sz w:val="24"/>
          <w:szCs w:val="24"/>
        </w:rPr>
        <w:t>Necessidade de respeito às garantias e aos direitos contratados pelos inscritos na entidade de saúde suplementar de autogestão;</w:t>
      </w:r>
    </w:p>
    <w:p w14:paraId="59D69CD1" w14:textId="77777777" w:rsidR="007776CA" w:rsidRDefault="00000000">
      <w:pPr>
        <w:numPr>
          <w:ilvl w:val="0"/>
          <w:numId w:val="7"/>
        </w:numPr>
        <w:spacing w:line="232" w:lineRule="auto"/>
        <w:ind w:right="28"/>
        <w:jc w:val="both"/>
        <w:rPr>
          <w:sz w:val="24"/>
          <w:szCs w:val="24"/>
        </w:rPr>
      </w:pPr>
      <w:r>
        <w:rPr>
          <w:sz w:val="24"/>
          <w:szCs w:val="24"/>
        </w:rPr>
        <w:t>Necessidade de manutenção de aposentados, independentemente do período de contribuição, e de dependentes mesmo após o falecimento do titular do plano;</w:t>
      </w:r>
    </w:p>
    <w:p w14:paraId="194AF6A3" w14:textId="77777777" w:rsidR="007776CA" w:rsidRDefault="00000000">
      <w:pPr>
        <w:numPr>
          <w:ilvl w:val="0"/>
          <w:numId w:val="7"/>
        </w:numPr>
        <w:spacing w:line="232" w:lineRule="auto"/>
        <w:ind w:right="28"/>
        <w:jc w:val="both"/>
        <w:rPr>
          <w:sz w:val="24"/>
          <w:szCs w:val="24"/>
        </w:rPr>
      </w:pPr>
      <w:r>
        <w:rPr>
          <w:sz w:val="24"/>
          <w:szCs w:val="24"/>
        </w:rPr>
        <w:t>Vedação à instituição de voto de qualidade em desfavor dos beneficiários nos órgãos estatutários;</w:t>
      </w:r>
    </w:p>
    <w:p w14:paraId="6BE49697" w14:textId="77777777" w:rsidR="007776CA" w:rsidRDefault="00000000">
      <w:pPr>
        <w:numPr>
          <w:ilvl w:val="0"/>
          <w:numId w:val="7"/>
        </w:numPr>
        <w:spacing w:line="232" w:lineRule="auto"/>
        <w:ind w:right="28"/>
        <w:jc w:val="both"/>
        <w:rPr>
          <w:sz w:val="24"/>
          <w:szCs w:val="24"/>
        </w:rPr>
      </w:pPr>
      <w:r>
        <w:rPr>
          <w:sz w:val="24"/>
          <w:szCs w:val="24"/>
        </w:rPr>
        <w:t>Garantia de transparência das informações sobre a gestão do plano de saúde, permitindo aos membros eleitos a liberdade de compartilhar informações com seus pares, salvo aquelas classificadas por lei como estratégicas do negócio e as protegidas pela Lei Geral de Proteção de Dados Pessoais, Lei nº 13.709/2018.</w:t>
      </w:r>
    </w:p>
    <w:p w14:paraId="3B7214B8" w14:textId="77777777" w:rsidR="007776CA" w:rsidRDefault="00000000">
      <w:pPr>
        <w:numPr>
          <w:ilvl w:val="0"/>
          <w:numId w:val="7"/>
        </w:numPr>
        <w:spacing w:line="232" w:lineRule="auto"/>
        <w:ind w:right="28"/>
        <w:jc w:val="both"/>
        <w:rPr>
          <w:sz w:val="24"/>
          <w:szCs w:val="24"/>
        </w:rPr>
      </w:pPr>
      <w:r>
        <w:rPr>
          <w:sz w:val="24"/>
          <w:szCs w:val="24"/>
        </w:rPr>
        <w:t>Obrigatoriedade de que o produto auferido com serviços alheios ao objeto da entidade de autogestão seja revertido ao custeio dos planos de saúde, observando-se a proporção de custeio entre patrocinadores, instituidores ou mantenedores e beneficiários.</w:t>
      </w:r>
    </w:p>
    <w:p w14:paraId="2291A60C" w14:textId="77777777" w:rsidR="007776CA" w:rsidRDefault="007776CA">
      <w:pPr>
        <w:spacing w:before="48" w:line="232" w:lineRule="auto"/>
        <w:ind w:left="1440" w:right="28"/>
        <w:jc w:val="both"/>
        <w:rPr>
          <w:sz w:val="24"/>
          <w:szCs w:val="24"/>
        </w:rPr>
      </w:pPr>
    </w:p>
    <w:p w14:paraId="489BCD9C" w14:textId="77777777" w:rsidR="007776CA" w:rsidRDefault="00000000">
      <w:pPr>
        <w:spacing w:before="48" w:line="232" w:lineRule="auto"/>
        <w:ind w:left="283" w:right="28" w:firstLine="566"/>
        <w:jc w:val="both"/>
        <w:rPr>
          <w:sz w:val="24"/>
          <w:szCs w:val="24"/>
        </w:rPr>
      </w:pPr>
      <w:r>
        <w:rPr>
          <w:sz w:val="24"/>
          <w:szCs w:val="24"/>
        </w:rPr>
        <w:t>A fim de assegurar tais diretrizes, entende-se, ainda, que devem ser adotadas as seguintes medidas:</w:t>
      </w:r>
    </w:p>
    <w:p w14:paraId="1C2BBCCE" w14:textId="77777777" w:rsidR="007776CA" w:rsidRDefault="00000000">
      <w:pPr>
        <w:numPr>
          <w:ilvl w:val="0"/>
          <w:numId w:val="7"/>
        </w:numPr>
        <w:pBdr>
          <w:top w:val="nil"/>
          <w:left w:val="nil"/>
          <w:bottom w:val="nil"/>
          <w:right w:val="nil"/>
          <w:between w:val="nil"/>
        </w:pBdr>
        <w:spacing w:before="48" w:line="232" w:lineRule="auto"/>
        <w:ind w:left="1417" w:right="28" w:hanging="425"/>
        <w:jc w:val="both"/>
        <w:rPr>
          <w:sz w:val="24"/>
          <w:szCs w:val="24"/>
        </w:rPr>
      </w:pPr>
      <w:r>
        <w:rPr>
          <w:sz w:val="24"/>
          <w:szCs w:val="24"/>
        </w:rPr>
        <w:t>Estabelecimento de estrutura mínima de governança, incluindo Diretoria Executiva, Conselho Deliberativo e Fiscal;</w:t>
      </w:r>
    </w:p>
    <w:p w14:paraId="54F6EA39" w14:textId="77777777" w:rsidR="007776CA" w:rsidRDefault="00000000">
      <w:pPr>
        <w:numPr>
          <w:ilvl w:val="0"/>
          <w:numId w:val="7"/>
        </w:numPr>
        <w:pBdr>
          <w:top w:val="nil"/>
          <w:left w:val="nil"/>
          <w:bottom w:val="nil"/>
          <w:right w:val="nil"/>
          <w:between w:val="nil"/>
        </w:pBdr>
        <w:spacing w:line="232" w:lineRule="auto"/>
        <w:ind w:left="1417" w:right="28" w:hanging="425"/>
        <w:jc w:val="both"/>
        <w:rPr>
          <w:sz w:val="24"/>
          <w:szCs w:val="24"/>
        </w:rPr>
      </w:pPr>
      <w:r>
        <w:rPr>
          <w:sz w:val="24"/>
          <w:szCs w:val="24"/>
        </w:rPr>
        <w:t>Obrigatoriedade de estruturas administrativas como Ouvidoria, Auditoria Interna, Compliance e Riscos;</w:t>
      </w:r>
    </w:p>
    <w:p w14:paraId="1F84802D" w14:textId="77777777" w:rsidR="007776CA" w:rsidRDefault="00000000">
      <w:pPr>
        <w:numPr>
          <w:ilvl w:val="0"/>
          <w:numId w:val="7"/>
        </w:numPr>
        <w:pBdr>
          <w:top w:val="nil"/>
          <w:left w:val="nil"/>
          <w:bottom w:val="nil"/>
          <w:right w:val="nil"/>
          <w:between w:val="nil"/>
        </w:pBdr>
        <w:spacing w:line="232" w:lineRule="auto"/>
        <w:ind w:left="1417" w:right="28" w:hanging="425"/>
        <w:jc w:val="both"/>
        <w:rPr>
          <w:sz w:val="24"/>
          <w:szCs w:val="24"/>
        </w:rPr>
      </w:pPr>
      <w:r>
        <w:rPr>
          <w:sz w:val="24"/>
          <w:szCs w:val="24"/>
        </w:rPr>
        <w:t>Composição minimamente paritária entre usuários e empresas nos órgãos estatutários;</w:t>
      </w:r>
    </w:p>
    <w:p w14:paraId="3935EE4D" w14:textId="77777777" w:rsidR="007776CA" w:rsidRDefault="00000000">
      <w:pPr>
        <w:numPr>
          <w:ilvl w:val="0"/>
          <w:numId w:val="7"/>
        </w:numPr>
        <w:pBdr>
          <w:top w:val="nil"/>
          <w:left w:val="nil"/>
          <w:bottom w:val="nil"/>
          <w:right w:val="nil"/>
          <w:between w:val="nil"/>
        </w:pBdr>
        <w:spacing w:line="232" w:lineRule="auto"/>
        <w:ind w:left="1417" w:right="28" w:hanging="425"/>
        <w:jc w:val="both"/>
        <w:rPr>
          <w:sz w:val="24"/>
          <w:szCs w:val="24"/>
        </w:rPr>
      </w:pPr>
      <w:r>
        <w:rPr>
          <w:sz w:val="24"/>
          <w:szCs w:val="24"/>
        </w:rPr>
        <w:t>Garantia de eleição direta para os órgãos estatutários com efetiva participação de todos os beneficiários titulares;</w:t>
      </w:r>
    </w:p>
    <w:p w14:paraId="6503E367" w14:textId="77777777" w:rsidR="007776CA" w:rsidRDefault="00000000">
      <w:pPr>
        <w:numPr>
          <w:ilvl w:val="0"/>
          <w:numId w:val="7"/>
        </w:numPr>
        <w:pBdr>
          <w:top w:val="nil"/>
          <w:left w:val="nil"/>
          <w:bottom w:val="nil"/>
          <w:right w:val="nil"/>
          <w:between w:val="nil"/>
        </w:pBdr>
        <w:spacing w:line="232" w:lineRule="auto"/>
        <w:ind w:left="1417" w:right="28" w:hanging="425"/>
        <w:jc w:val="both"/>
        <w:rPr>
          <w:sz w:val="24"/>
          <w:szCs w:val="24"/>
        </w:rPr>
      </w:pPr>
      <w:r>
        <w:rPr>
          <w:sz w:val="24"/>
          <w:szCs w:val="24"/>
        </w:rPr>
        <w:t>Garantia da estrutura de governança subordinada ao órgão paritário máximo da entidade;</w:t>
      </w:r>
    </w:p>
    <w:p w14:paraId="6137C1AE" w14:textId="77777777" w:rsidR="007776CA" w:rsidRDefault="00000000">
      <w:pPr>
        <w:numPr>
          <w:ilvl w:val="0"/>
          <w:numId w:val="7"/>
        </w:numPr>
        <w:pBdr>
          <w:top w:val="nil"/>
          <w:left w:val="nil"/>
          <w:bottom w:val="nil"/>
          <w:right w:val="nil"/>
          <w:between w:val="nil"/>
        </w:pBdr>
        <w:spacing w:line="232" w:lineRule="auto"/>
        <w:ind w:left="1417" w:right="28" w:hanging="425"/>
        <w:jc w:val="both"/>
        <w:rPr>
          <w:sz w:val="24"/>
          <w:szCs w:val="24"/>
        </w:rPr>
      </w:pPr>
      <w:r>
        <w:rPr>
          <w:sz w:val="24"/>
          <w:szCs w:val="24"/>
        </w:rPr>
        <w:t>Garantia de estabilidade trabalhista para os ocupantes de mandato nos órgãos estatutários e custeio da defesa técnica para membros da diretoria eleitos pelos beneficiários;</w:t>
      </w:r>
    </w:p>
    <w:p w14:paraId="330E1331" w14:textId="77777777" w:rsidR="007776CA" w:rsidRDefault="00000000">
      <w:pPr>
        <w:numPr>
          <w:ilvl w:val="0"/>
          <w:numId w:val="7"/>
        </w:numPr>
        <w:spacing w:line="232" w:lineRule="auto"/>
        <w:ind w:right="28"/>
        <w:jc w:val="both"/>
        <w:rPr>
          <w:sz w:val="24"/>
          <w:szCs w:val="24"/>
        </w:rPr>
      </w:pPr>
      <w:r>
        <w:rPr>
          <w:sz w:val="24"/>
          <w:szCs w:val="24"/>
        </w:rPr>
        <w:t xml:space="preserve">Garantia de eleição direta e efetiva participação no processo eleitoral para todos os beneficiários titulares, em conformidade com dispositivos previstos no Estatuto Social da Operadora de Plano de Saúde, observadas os seguintes parâmetros de funcionamento: </w:t>
      </w:r>
      <w:r>
        <w:rPr>
          <w:i/>
          <w:sz w:val="24"/>
          <w:szCs w:val="24"/>
        </w:rPr>
        <w:t xml:space="preserve">a) </w:t>
      </w:r>
      <w:r>
        <w:rPr>
          <w:sz w:val="24"/>
          <w:szCs w:val="24"/>
        </w:rPr>
        <w:t xml:space="preserve">Formatação de comissão eleitoral paritária; </w:t>
      </w:r>
      <w:r>
        <w:rPr>
          <w:i/>
          <w:sz w:val="24"/>
          <w:szCs w:val="24"/>
        </w:rPr>
        <w:t xml:space="preserve">b) </w:t>
      </w:r>
      <w:r>
        <w:rPr>
          <w:sz w:val="24"/>
          <w:szCs w:val="24"/>
        </w:rPr>
        <w:t xml:space="preserve">Definição de períodos de campanha; </w:t>
      </w:r>
      <w:r>
        <w:rPr>
          <w:i/>
          <w:sz w:val="24"/>
          <w:szCs w:val="24"/>
        </w:rPr>
        <w:t xml:space="preserve">c) </w:t>
      </w:r>
      <w:r>
        <w:rPr>
          <w:sz w:val="24"/>
          <w:szCs w:val="24"/>
        </w:rPr>
        <w:t xml:space="preserve">Vedação de regras que excluem participação de candidatos, salvo aquelas previstas em lei; </w:t>
      </w:r>
      <w:r>
        <w:rPr>
          <w:i/>
          <w:sz w:val="24"/>
          <w:szCs w:val="24"/>
        </w:rPr>
        <w:t xml:space="preserve">d) </w:t>
      </w:r>
      <w:r>
        <w:rPr>
          <w:sz w:val="24"/>
          <w:szCs w:val="24"/>
        </w:rPr>
        <w:t xml:space="preserve">Regras de publicidade às custas da operadora; </w:t>
      </w:r>
      <w:r>
        <w:rPr>
          <w:i/>
          <w:sz w:val="24"/>
          <w:szCs w:val="24"/>
        </w:rPr>
        <w:t xml:space="preserve">e) </w:t>
      </w:r>
      <w:r>
        <w:rPr>
          <w:sz w:val="24"/>
          <w:szCs w:val="24"/>
        </w:rPr>
        <w:t>Controle do processo eleitoral de modo minimamente paritário como um todo.</w:t>
      </w:r>
    </w:p>
    <w:p w14:paraId="3E03169E" w14:textId="77777777" w:rsidR="007776CA" w:rsidRDefault="00000000">
      <w:pPr>
        <w:pBdr>
          <w:top w:val="nil"/>
          <w:left w:val="nil"/>
          <w:bottom w:val="nil"/>
          <w:right w:val="nil"/>
          <w:between w:val="nil"/>
        </w:pBdr>
        <w:tabs>
          <w:tab w:val="left" w:pos="834"/>
        </w:tabs>
        <w:spacing w:before="235"/>
        <w:ind w:left="283" w:right="28"/>
        <w:jc w:val="both"/>
        <w:rPr>
          <w:b/>
          <w:color w:val="000000"/>
          <w:sz w:val="24"/>
          <w:szCs w:val="24"/>
          <w:u w:val="single"/>
        </w:rPr>
      </w:pPr>
      <w:r>
        <w:rPr>
          <w:b/>
          <w:noProof/>
          <w:color w:val="000000"/>
          <w:sz w:val="24"/>
          <w:szCs w:val="24"/>
        </w:rPr>
        <w:drawing>
          <wp:inline distT="0" distB="0" distL="0" distR="0" wp14:anchorId="657D1BC1" wp14:editId="0B9EA6DD">
            <wp:extent cx="47625" cy="47624"/>
            <wp:effectExtent l="0" t="0" r="0" b="0"/>
            <wp:docPr id="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47625" cy="47624"/>
                    </a:xfrm>
                    <a:prstGeom prst="rect">
                      <a:avLst/>
                    </a:prstGeom>
                    <a:ln/>
                  </pic:spPr>
                </pic:pic>
              </a:graphicData>
            </a:graphic>
          </wp:inline>
        </w:drawing>
      </w:r>
      <w:r>
        <w:rPr>
          <w:rFonts w:ascii="Times New Roman" w:eastAsia="Times New Roman" w:hAnsi="Times New Roman" w:cs="Times New Roman"/>
          <w:b/>
          <w:color w:val="000000"/>
          <w:sz w:val="24"/>
          <w:szCs w:val="24"/>
        </w:rPr>
        <w:tab/>
      </w:r>
      <w:r>
        <w:rPr>
          <w:b/>
          <w:color w:val="000000"/>
          <w:sz w:val="24"/>
          <w:szCs w:val="24"/>
          <w:u w:val="single"/>
        </w:rPr>
        <w:t>Compartilhamento de rede</w:t>
      </w:r>
    </w:p>
    <w:p w14:paraId="178780BF" w14:textId="77777777" w:rsidR="007776CA" w:rsidRDefault="00000000">
      <w:pPr>
        <w:pBdr>
          <w:top w:val="nil"/>
          <w:left w:val="nil"/>
          <w:bottom w:val="nil"/>
          <w:right w:val="nil"/>
          <w:between w:val="nil"/>
        </w:pBdr>
        <w:spacing w:before="239" w:line="232" w:lineRule="auto"/>
        <w:ind w:left="283" w:right="28"/>
        <w:jc w:val="both"/>
        <w:rPr>
          <w:b/>
          <w:color w:val="000000"/>
          <w:sz w:val="24"/>
          <w:szCs w:val="24"/>
        </w:rPr>
      </w:pPr>
      <w:r>
        <w:rPr>
          <w:b/>
          <w:color w:val="000000"/>
          <w:sz w:val="24"/>
          <w:szCs w:val="24"/>
        </w:rPr>
        <w:t>A restrição ao compartilhamento de rede atualmente existente na regulamentação traz impactos à operação de uma autogestão? Qual justificativa fundamenta sua opinião?</w:t>
      </w:r>
    </w:p>
    <w:p w14:paraId="4462CE97" w14:textId="77777777" w:rsidR="007776CA" w:rsidRDefault="00000000">
      <w:pPr>
        <w:pBdr>
          <w:top w:val="nil"/>
          <w:left w:val="nil"/>
          <w:bottom w:val="nil"/>
          <w:right w:val="nil"/>
          <w:between w:val="nil"/>
        </w:pBdr>
        <w:spacing w:before="239" w:line="232" w:lineRule="auto"/>
        <w:ind w:left="283" w:right="28" w:firstLine="141"/>
        <w:jc w:val="both"/>
        <w:rPr>
          <w:sz w:val="24"/>
          <w:szCs w:val="24"/>
        </w:rPr>
      </w:pPr>
      <w:r>
        <w:rPr>
          <w:sz w:val="24"/>
          <w:szCs w:val="24"/>
        </w:rPr>
        <w:t>Sim, a restrição ao compartilhamento de rede enfraquece a capacidade de negociação da autogestão com seus prestadores.</w:t>
      </w:r>
    </w:p>
    <w:p w14:paraId="1D9C6155" w14:textId="77777777" w:rsidR="007776CA" w:rsidRDefault="00000000">
      <w:pPr>
        <w:pBdr>
          <w:top w:val="nil"/>
          <w:left w:val="nil"/>
          <w:bottom w:val="nil"/>
          <w:right w:val="nil"/>
          <w:between w:val="nil"/>
        </w:pBdr>
        <w:spacing w:before="239" w:line="232" w:lineRule="auto"/>
        <w:ind w:left="283" w:right="28" w:firstLine="141"/>
        <w:jc w:val="both"/>
        <w:rPr>
          <w:sz w:val="24"/>
          <w:szCs w:val="24"/>
        </w:rPr>
      </w:pPr>
      <w:r>
        <w:rPr>
          <w:sz w:val="24"/>
          <w:szCs w:val="24"/>
        </w:rPr>
        <w:lastRenderedPageBreak/>
        <w:t>Entendemos, assim, que é necessário rever esta restrição, a fim de dar às operadoras de autogestão melhores possibilidades de operação, com redução de custos operacionais, ampliação de acesso aos beneficiários e maior facilidade de cumprimento das regras setoriais de cobertura na prestação de seus serviços. A revisão desta proibição poderia viabilizar a oferta de planos mais acessíveis aos beneficiários.</w:t>
      </w:r>
    </w:p>
    <w:p w14:paraId="134EB1A1" w14:textId="77777777" w:rsidR="007776CA" w:rsidRDefault="007776CA">
      <w:pPr>
        <w:pBdr>
          <w:top w:val="nil"/>
          <w:left w:val="nil"/>
          <w:bottom w:val="nil"/>
          <w:right w:val="nil"/>
          <w:between w:val="nil"/>
        </w:pBdr>
        <w:spacing w:before="239" w:line="232" w:lineRule="auto"/>
        <w:ind w:left="283" w:right="28" w:firstLine="141"/>
        <w:jc w:val="both"/>
        <w:rPr>
          <w:sz w:val="24"/>
          <w:szCs w:val="24"/>
        </w:rPr>
      </w:pPr>
    </w:p>
    <w:p w14:paraId="4D01265C" w14:textId="77777777" w:rsidR="007776CA" w:rsidRDefault="00000000">
      <w:pPr>
        <w:pBdr>
          <w:top w:val="nil"/>
          <w:left w:val="nil"/>
          <w:bottom w:val="nil"/>
          <w:right w:val="nil"/>
          <w:between w:val="nil"/>
        </w:pBdr>
        <w:spacing w:before="121" w:line="232" w:lineRule="auto"/>
        <w:ind w:left="283" w:right="28"/>
        <w:jc w:val="both"/>
        <w:rPr>
          <w:b/>
          <w:color w:val="000000"/>
          <w:sz w:val="24"/>
          <w:szCs w:val="24"/>
        </w:rPr>
      </w:pPr>
      <w:r>
        <w:rPr>
          <w:b/>
          <w:color w:val="000000"/>
          <w:sz w:val="24"/>
          <w:szCs w:val="24"/>
        </w:rPr>
        <w:t>O compartilhamento de rede nas autogestões poderia ser restrito a convênios de reciprocidade com outras autogestões apenas? Qual justificativa fundamenta sua opinião?</w:t>
      </w:r>
    </w:p>
    <w:p w14:paraId="40296C17" w14:textId="77777777" w:rsidR="007776CA" w:rsidRDefault="00000000">
      <w:pPr>
        <w:spacing w:before="239" w:line="232" w:lineRule="auto"/>
        <w:ind w:left="283" w:right="28" w:firstLine="141"/>
        <w:jc w:val="both"/>
        <w:rPr>
          <w:sz w:val="24"/>
          <w:szCs w:val="24"/>
        </w:rPr>
      </w:pPr>
      <w:r>
        <w:rPr>
          <w:sz w:val="24"/>
          <w:szCs w:val="24"/>
        </w:rPr>
        <w:t>Entendemos que não. Essa restrição ocasionaria redução das possibilidades de negociação e aumento de custos operacionais para as autogestões.</w:t>
      </w:r>
    </w:p>
    <w:p w14:paraId="102491F0" w14:textId="77777777" w:rsidR="007776CA" w:rsidRDefault="00000000">
      <w:pPr>
        <w:spacing w:before="239" w:line="232" w:lineRule="auto"/>
        <w:ind w:left="283" w:right="28" w:firstLine="141"/>
        <w:jc w:val="both"/>
        <w:rPr>
          <w:sz w:val="24"/>
          <w:szCs w:val="24"/>
        </w:rPr>
      </w:pPr>
      <w:r>
        <w:rPr>
          <w:sz w:val="24"/>
          <w:szCs w:val="24"/>
        </w:rPr>
        <w:t>No caso, o compartilhamento mais amplo de rede, inclusive com operadoras de mercado, viabiliza melhor acesso dos beneficiários, nas diversas regiões do Brasil, aos serviços de saúde suplementar.</w:t>
      </w:r>
    </w:p>
    <w:p w14:paraId="65FF6706" w14:textId="77777777" w:rsidR="007776CA" w:rsidRDefault="007776CA">
      <w:pPr>
        <w:pBdr>
          <w:top w:val="nil"/>
          <w:left w:val="nil"/>
          <w:bottom w:val="nil"/>
          <w:right w:val="nil"/>
          <w:between w:val="nil"/>
        </w:pBdr>
        <w:spacing w:before="121" w:line="232" w:lineRule="auto"/>
        <w:ind w:left="283" w:right="28"/>
        <w:jc w:val="both"/>
        <w:rPr>
          <w:sz w:val="24"/>
          <w:szCs w:val="24"/>
        </w:rPr>
      </w:pPr>
    </w:p>
    <w:p w14:paraId="12202BEC" w14:textId="77777777" w:rsidR="007776CA" w:rsidRDefault="00000000">
      <w:pPr>
        <w:pStyle w:val="Ttulo1"/>
        <w:numPr>
          <w:ilvl w:val="0"/>
          <w:numId w:val="5"/>
        </w:numPr>
        <w:tabs>
          <w:tab w:val="left" w:pos="535"/>
        </w:tabs>
        <w:spacing w:before="115"/>
        <w:ind w:left="283" w:right="28" w:firstLine="0"/>
        <w:jc w:val="both"/>
      </w:pPr>
      <w:r>
        <w:t>– Eventuais riscos caso a norma seja alterada:</w:t>
      </w:r>
    </w:p>
    <w:p w14:paraId="7741AEEF" w14:textId="77777777" w:rsidR="007776CA" w:rsidRDefault="00000000">
      <w:pPr>
        <w:pBdr>
          <w:top w:val="nil"/>
          <w:left w:val="nil"/>
          <w:bottom w:val="nil"/>
          <w:right w:val="nil"/>
          <w:between w:val="nil"/>
        </w:pBdr>
        <w:spacing w:before="119" w:line="232" w:lineRule="auto"/>
        <w:ind w:left="283" w:right="28"/>
        <w:jc w:val="both"/>
        <w:rPr>
          <w:b/>
          <w:sz w:val="24"/>
          <w:szCs w:val="24"/>
        </w:rPr>
      </w:pPr>
      <w:r>
        <w:rPr>
          <w:b/>
          <w:color w:val="000000"/>
          <w:sz w:val="24"/>
          <w:szCs w:val="24"/>
        </w:rPr>
        <w:t>“Vislumbra-se algum efeito negativo sobre a concorrência setorial caso haja mudança no normativo atual? Que alteração poderia ter esse impacto e por que?"</w:t>
      </w:r>
    </w:p>
    <w:p w14:paraId="2DE0FB7D" w14:textId="77777777" w:rsidR="007776CA" w:rsidRDefault="00000000">
      <w:pPr>
        <w:pBdr>
          <w:top w:val="nil"/>
          <w:left w:val="nil"/>
          <w:bottom w:val="nil"/>
          <w:right w:val="nil"/>
          <w:between w:val="nil"/>
        </w:pBdr>
        <w:spacing w:before="119" w:line="232" w:lineRule="auto"/>
        <w:ind w:left="283" w:right="28"/>
        <w:jc w:val="both"/>
        <w:rPr>
          <w:sz w:val="24"/>
          <w:szCs w:val="24"/>
        </w:rPr>
      </w:pPr>
      <w:r>
        <w:rPr>
          <w:sz w:val="24"/>
          <w:szCs w:val="24"/>
        </w:rPr>
        <w:t>Não. Entendemos que nova regulamentação pode trazer impactos positivos à concorrência no setor. Como frisado, potencializando as vantagens do segmento de autogestão e tornando a sua atuação mais eficiente e eficaz. Além de frear a tendência de queda do seu número de seus beneficiários.</w:t>
      </w:r>
    </w:p>
    <w:p w14:paraId="2B1CBD35" w14:textId="77777777" w:rsidR="007776CA" w:rsidRDefault="00000000">
      <w:pPr>
        <w:pBdr>
          <w:top w:val="nil"/>
          <w:left w:val="nil"/>
          <w:bottom w:val="nil"/>
          <w:right w:val="nil"/>
          <w:between w:val="nil"/>
        </w:pBdr>
        <w:spacing w:before="119" w:line="232" w:lineRule="auto"/>
        <w:ind w:left="283" w:right="28"/>
        <w:jc w:val="both"/>
        <w:rPr>
          <w:sz w:val="24"/>
          <w:szCs w:val="24"/>
        </w:rPr>
      </w:pPr>
      <w:r>
        <w:rPr>
          <w:sz w:val="24"/>
          <w:szCs w:val="24"/>
        </w:rPr>
        <w:t>Em verdade, o cenário atual acarreta efeitos negativos sobre a concorrência setorial. Isso porque, este cenário inviabiliza a expansão das operadoras de autogestão, por conter muitas restrições que diminuem as vantagens competitivas destes planos; restrições estas que não se aplicam a demais segmentos.</w:t>
      </w:r>
    </w:p>
    <w:p w14:paraId="08936915" w14:textId="77777777" w:rsidR="007776CA" w:rsidRDefault="00000000">
      <w:pPr>
        <w:pBdr>
          <w:top w:val="nil"/>
          <w:left w:val="nil"/>
          <w:bottom w:val="nil"/>
          <w:right w:val="nil"/>
          <w:between w:val="nil"/>
        </w:pBdr>
        <w:spacing w:before="119" w:line="232" w:lineRule="auto"/>
        <w:ind w:left="283" w:right="28"/>
        <w:jc w:val="both"/>
        <w:rPr>
          <w:sz w:val="24"/>
          <w:szCs w:val="24"/>
        </w:rPr>
      </w:pPr>
      <w:r>
        <w:rPr>
          <w:sz w:val="24"/>
          <w:szCs w:val="24"/>
        </w:rPr>
        <w:t>Além disso, as autogestões têm uma característica peculiar, que é a da perenidade do vínculo: o trabalhador nelas ingressa quando na ativa e permanecerá vinculado, caso assim deseje, durante toda a sua aposentadoria.</w:t>
      </w:r>
    </w:p>
    <w:p w14:paraId="1A330167" w14:textId="77777777" w:rsidR="007776CA" w:rsidRDefault="00000000">
      <w:pPr>
        <w:pBdr>
          <w:top w:val="nil"/>
          <w:left w:val="nil"/>
          <w:bottom w:val="nil"/>
          <w:right w:val="nil"/>
          <w:between w:val="nil"/>
        </w:pBdr>
        <w:spacing w:before="119" w:line="232" w:lineRule="auto"/>
        <w:ind w:left="283" w:right="28"/>
        <w:jc w:val="both"/>
        <w:rPr>
          <w:sz w:val="24"/>
          <w:szCs w:val="24"/>
        </w:rPr>
      </w:pPr>
      <w:r>
        <w:rPr>
          <w:sz w:val="24"/>
          <w:szCs w:val="24"/>
        </w:rPr>
        <w:t>Assim, é imprescindível a revisão da RN 137/2006 que disciplina as autogestões. Revisão esta que leve em consideração as peculiaridades de cada formato de autogestão existente na saúde suplementar brasileira: i) por departamento de recursos humanos; ii) por patrocinadora, instituidora ou mantenedora ou; iii) sob forma de associação ou fundação. Ademais, tal revisão não pode prescindir de disciplinar, de modo robusto, a garantia de proteção aos beneficiários dos planos de saúde operados na modalidade de autogestão, com a especificação de um catálogo de direitos mínimos a estes, contemplando, necessariamente a garantia de manutenção dos inativos dentro da cobertura dos planos de saúde operados na modalidade de autogestão.</w:t>
      </w:r>
    </w:p>
    <w:p w14:paraId="31C99DCB" w14:textId="77777777" w:rsidR="007776CA" w:rsidRDefault="00000000">
      <w:pPr>
        <w:pBdr>
          <w:top w:val="nil"/>
          <w:left w:val="nil"/>
          <w:bottom w:val="nil"/>
          <w:right w:val="nil"/>
          <w:between w:val="nil"/>
        </w:pBdr>
        <w:spacing w:before="119" w:line="232" w:lineRule="auto"/>
        <w:ind w:left="283" w:right="28"/>
        <w:jc w:val="both"/>
        <w:rPr>
          <w:sz w:val="24"/>
          <w:szCs w:val="24"/>
        </w:rPr>
      </w:pPr>
      <w:r>
        <w:rPr>
          <w:sz w:val="24"/>
          <w:szCs w:val="24"/>
        </w:rPr>
        <w:t>Ademais, tal regulamentação deve ter em conta a necessidade de estabelecer-se regramento claro sobre a participação no custeio por parte das instituidoras, mantenedoras ou patrocinadoras, a fim de evitar-se que decisões abruptas tomadas por estas possam comprometer a sustentabilidade financeira das autogestões.</w:t>
      </w:r>
    </w:p>
    <w:p w14:paraId="1EB73244" w14:textId="77777777" w:rsidR="007776CA" w:rsidRDefault="007776CA">
      <w:pPr>
        <w:pStyle w:val="Ttulo1"/>
        <w:ind w:left="283"/>
        <w:jc w:val="both"/>
      </w:pPr>
    </w:p>
    <w:p w14:paraId="7510130C" w14:textId="77777777" w:rsidR="007776CA" w:rsidRDefault="00000000">
      <w:pPr>
        <w:pStyle w:val="Ttulo1"/>
        <w:ind w:left="283"/>
        <w:jc w:val="both"/>
      </w:pPr>
      <w:r>
        <w:t>O documento deve ser encaminhado em formato Word ou Excell.</w:t>
      </w:r>
    </w:p>
    <w:p w14:paraId="04B7A3FB" w14:textId="77777777" w:rsidR="007776CA" w:rsidRDefault="007776CA"/>
    <w:p w14:paraId="141A87F6" w14:textId="77777777" w:rsidR="007776CA" w:rsidRDefault="007776CA"/>
    <w:p w14:paraId="58DEAF8C" w14:textId="77777777" w:rsidR="007776CA" w:rsidRDefault="007776CA"/>
    <w:p w14:paraId="72017D20" w14:textId="77777777" w:rsidR="007776CA" w:rsidRDefault="007776CA"/>
    <w:p w14:paraId="3E2A2AB6" w14:textId="77777777" w:rsidR="007776CA" w:rsidRDefault="007776CA">
      <w:pPr>
        <w:tabs>
          <w:tab w:val="left" w:pos="9432"/>
        </w:tabs>
        <w:spacing w:before="23"/>
        <w:ind w:left="144"/>
        <w:jc w:val="both"/>
        <w:rPr>
          <w:sz w:val="24"/>
          <w:szCs w:val="24"/>
        </w:rPr>
      </w:pPr>
    </w:p>
    <w:sectPr w:rsidR="007776CA">
      <w:headerReference w:type="default" r:id="rId13"/>
      <w:footerReference w:type="default" r:id="rId14"/>
      <w:pgSz w:w="11900" w:h="16840"/>
      <w:pgMar w:top="500" w:right="560" w:bottom="440" w:left="560" w:header="1133" w:footer="17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93B834" w14:textId="77777777" w:rsidR="00305D26" w:rsidRDefault="00305D26">
      <w:r>
        <w:separator/>
      </w:r>
    </w:p>
  </w:endnote>
  <w:endnote w:type="continuationSeparator" w:id="0">
    <w:p w14:paraId="1C0B03AE" w14:textId="77777777" w:rsidR="00305D26" w:rsidRDefault="00305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CC"/>
    <w:family w:val="swiss"/>
    <w:pitch w:val="variable"/>
    <w:sig w:usb0="E0002EFF" w:usb1="0000785B" w:usb2="00000001" w:usb3="00000000" w:csb0="000001FF" w:csb1="00000000"/>
  </w:font>
  <w:font w:name="Arial 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099E6" w14:textId="77777777" w:rsidR="007776CA"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58240" behindDoc="1" locked="0" layoutInCell="1" hidden="0" allowOverlap="1" wp14:anchorId="20CD9F32" wp14:editId="0B60F95D">
              <wp:simplePos x="0" y="0"/>
              <wp:positionH relativeFrom="column">
                <wp:posOffset>-38099</wp:posOffset>
              </wp:positionH>
              <wp:positionV relativeFrom="paragraph">
                <wp:posOffset>10375900</wp:posOffset>
              </wp:positionV>
              <wp:extent cx="6605905" cy="148590"/>
              <wp:effectExtent l="0" t="0" r="0" b="0"/>
              <wp:wrapNone/>
              <wp:docPr id="31" name="Retângulo 31"/>
              <wp:cNvGraphicFramePr/>
              <a:graphic xmlns:a="http://schemas.openxmlformats.org/drawingml/2006/main">
                <a:graphicData uri="http://schemas.microsoft.com/office/word/2010/wordprocessingShape">
                  <wps:wsp>
                    <wps:cNvSpPr/>
                    <wps:spPr>
                      <a:xfrm>
                        <a:off x="2047810" y="3710468"/>
                        <a:ext cx="6596380" cy="139065"/>
                      </a:xfrm>
                      <a:prstGeom prst="rect">
                        <a:avLst/>
                      </a:prstGeom>
                      <a:noFill/>
                      <a:ln>
                        <a:noFill/>
                      </a:ln>
                    </wps:spPr>
                    <wps:txbx>
                      <w:txbxContent>
                        <w:p w14:paraId="7125DF93" w14:textId="77777777" w:rsidR="007776CA" w:rsidRDefault="00000000">
                          <w:pPr>
                            <w:spacing w:before="13"/>
                            <w:ind w:left="20" w:firstLine="20"/>
                            <w:textDirection w:val="btLr"/>
                          </w:pPr>
                          <w:r>
                            <w:rPr>
                              <w:rFonts w:ascii="Arial MT" w:eastAsia="Arial MT" w:hAnsi="Arial MT" w:cs="Arial MT"/>
                              <w:color w:val="000000"/>
                              <w:sz w:val="16"/>
                            </w:rPr>
                            <w:t>https://sei.ans.gov.br/controlador.php?acao=documento_imprimir_web&amp;acao_origem=arvore_visualizar&amp;id_documento=29430755&amp;infra_sistem…</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-38099</wp:posOffset>
              </wp:positionH>
              <wp:positionV relativeFrom="paragraph">
                <wp:posOffset>10375900</wp:posOffset>
              </wp:positionV>
              <wp:extent cx="6605905" cy="148590"/>
              <wp:effectExtent b="0" l="0" r="0" t="0"/>
              <wp:wrapNone/>
              <wp:docPr id="31"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6605905" cy="148590"/>
                      </a:xfrm>
                      <a:prstGeom prst="rect"/>
                      <a:ln/>
                    </pic:spPr>
                  </pic:pic>
                </a:graphicData>
              </a:graphic>
            </wp:anchor>
          </w:drawing>
        </mc:Fallback>
      </mc:AlternateContent>
    </w:r>
    <w:r>
      <w:rPr>
        <w:noProof/>
      </w:rPr>
      <mc:AlternateContent>
        <mc:Choice Requires="wpg">
          <w:drawing>
            <wp:anchor distT="0" distB="0" distL="0" distR="0" simplePos="0" relativeHeight="251659264" behindDoc="1" locked="0" layoutInCell="1" hidden="0" allowOverlap="1" wp14:anchorId="224B211B" wp14:editId="3741C4C1">
              <wp:simplePos x="0" y="0"/>
              <wp:positionH relativeFrom="column">
                <wp:posOffset>6692900</wp:posOffset>
              </wp:positionH>
              <wp:positionV relativeFrom="paragraph">
                <wp:posOffset>10375900</wp:posOffset>
              </wp:positionV>
              <wp:extent cx="201930" cy="148590"/>
              <wp:effectExtent l="0" t="0" r="0" b="0"/>
              <wp:wrapNone/>
              <wp:docPr id="30" name="Retângulo 30"/>
              <wp:cNvGraphicFramePr/>
              <a:graphic xmlns:a="http://schemas.openxmlformats.org/drawingml/2006/main">
                <a:graphicData uri="http://schemas.microsoft.com/office/word/2010/wordprocessingShape">
                  <wps:wsp>
                    <wps:cNvSpPr/>
                    <wps:spPr>
                      <a:xfrm>
                        <a:off x="5249798" y="3710468"/>
                        <a:ext cx="192405" cy="139065"/>
                      </a:xfrm>
                      <a:prstGeom prst="rect">
                        <a:avLst/>
                      </a:prstGeom>
                      <a:noFill/>
                      <a:ln>
                        <a:noFill/>
                      </a:ln>
                    </wps:spPr>
                    <wps:txbx>
                      <w:txbxContent>
                        <w:p w14:paraId="56695816" w14:textId="77777777" w:rsidR="007776CA" w:rsidRDefault="00000000">
                          <w:pPr>
                            <w:spacing w:before="13"/>
                            <w:ind w:left="60" w:firstLine="60"/>
                            <w:textDirection w:val="btLr"/>
                          </w:pPr>
                          <w:r>
                            <w:rPr>
                              <w:rFonts w:ascii="Arial MT" w:eastAsia="Arial MT" w:hAnsi="Arial MT" w:cs="Arial MT"/>
                              <w:color w:val="000000"/>
                              <w:sz w:val="16"/>
                            </w:rPr>
                            <w:t xml:space="preserve"> </w:t>
                          </w:r>
                          <w:r>
                            <w:rPr>
                              <w:rFonts w:ascii="Arial MT" w:eastAsia="Arial MT" w:hAnsi="Arial MT" w:cs="Arial MT"/>
                              <w:color w:val="000000"/>
                              <w:sz w:val="16"/>
                            </w:rPr>
                            <w:t xml:space="preserve">PAGE </w:t>
                          </w:r>
                          <w:r>
                            <w:rPr>
                              <w:rFonts w:ascii="Arial MT" w:eastAsia="Arial MT" w:hAnsi="Arial MT" w:cs="Arial MT"/>
                              <w:color w:val="000000"/>
                              <w:sz w:val="16"/>
                            </w:rPr>
                            <w:t>1/ NUMPAGES 3</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6692900</wp:posOffset>
              </wp:positionH>
              <wp:positionV relativeFrom="paragraph">
                <wp:posOffset>10375900</wp:posOffset>
              </wp:positionV>
              <wp:extent cx="201930" cy="148590"/>
              <wp:effectExtent b="0" l="0" r="0" t="0"/>
              <wp:wrapNone/>
              <wp:docPr id="30"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201930" cy="14859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6716E2" w14:textId="77777777" w:rsidR="00305D26" w:rsidRDefault="00305D26">
      <w:r>
        <w:separator/>
      </w:r>
    </w:p>
  </w:footnote>
  <w:footnote w:type="continuationSeparator" w:id="0">
    <w:p w14:paraId="47E36BD3" w14:textId="77777777" w:rsidR="00305D26" w:rsidRDefault="00305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21763" w14:textId="77777777" w:rsidR="007776CA" w:rsidRDefault="007776CA">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76360"/>
    <w:multiLevelType w:val="multilevel"/>
    <w:tmpl w:val="44AE13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23510352"/>
    <w:multiLevelType w:val="multilevel"/>
    <w:tmpl w:val="20EEA77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36EB169C"/>
    <w:multiLevelType w:val="multilevel"/>
    <w:tmpl w:val="4A68F6D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2C7094A"/>
    <w:multiLevelType w:val="multilevel"/>
    <w:tmpl w:val="0D2465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47571243"/>
    <w:multiLevelType w:val="multilevel"/>
    <w:tmpl w:val="6E866A4C"/>
    <w:lvl w:ilvl="0">
      <w:start w:val="1"/>
      <w:numFmt w:val="upperRoman"/>
      <w:lvlText w:val="%1"/>
      <w:lvlJc w:val="left"/>
      <w:pPr>
        <w:ind w:left="353" w:hanging="119"/>
      </w:pPr>
      <w:rPr>
        <w:rFonts w:ascii="Calibri" w:eastAsia="Calibri" w:hAnsi="Calibri" w:cs="Calibri"/>
        <w:b/>
        <w:i w:val="0"/>
        <w:sz w:val="24"/>
        <w:szCs w:val="24"/>
      </w:rPr>
    </w:lvl>
    <w:lvl w:ilvl="1">
      <w:numFmt w:val="bullet"/>
      <w:lvlText w:val="•"/>
      <w:lvlJc w:val="left"/>
      <w:pPr>
        <w:ind w:left="1401" w:hanging="119"/>
      </w:pPr>
    </w:lvl>
    <w:lvl w:ilvl="2">
      <w:numFmt w:val="bullet"/>
      <w:lvlText w:val="•"/>
      <w:lvlJc w:val="left"/>
      <w:pPr>
        <w:ind w:left="2443" w:hanging="119"/>
      </w:pPr>
    </w:lvl>
    <w:lvl w:ilvl="3">
      <w:numFmt w:val="bullet"/>
      <w:lvlText w:val="•"/>
      <w:lvlJc w:val="left"/>
      <w:pPr>
        <w:ind w:left="3485" w:hanging="119"/>
      </w:pPr>
    </w:lvl>
    <w:lvl w:ilvl="4">
      <w:numFmt w:val="bullet"/>
      <w:lvlText w:val="•"/>
      <w:lvlJc w:val="left"/>
      <w:pPr>
        <w:ind w:left="4527" w:hanging="119"/>
      </w:pPr>
    </w:lvl>
    <w:lvl w:ilvl="5">
      <w:numFmt w:val="bullet"/>
      <w:lvlText w:val="•"/>
      <w:lvlJc w:val="left"/>
      <w:pPr>
        <w:ind w:left="5569" w:hanging="119"/>
      </w:pPr>
    </w:lvl>
    <w:lvl w:ilvl="6">
      <w:numFmt w:val="bullet"/>
      <w:lvlText w:val="•"/>
      <w:lvlJc w:val="left"/>
      <w:pPr>
        <w:ind w:left="6611" w:hanging="119"/>
      </w:pPr>
    </w:lvl>
    <w:lvl w:ilvl="7">
      <w:numFmt w:val="bullet"/>
      <w:lvlText w:val="•"/>
      <w:lvlJc w:val="left"/>
      <w:pPr>
        <w:ind w:left="7653" w:hanging="119"/>
      </w:pPr>
    </w:lvl>
    <w:lvl w:ilvl="8">
      <w:numFmt w:val="bullet"/>
      <w:lvlText w:val="•"/>
      <w:lvlJc w:val="left"/>
      <w:pPr>
        <w:ind w:left="8695" w:hanging="119"/>
      </w:pPr>
    </w:lvl>
  </w:abstractNum>
  <w:abstractNum w:abstractNumId="5" w15:restartNumberingAfterBreak="0">
    <w:nsid w:val="48DA18CD"/>
    <w:multiLevelType w:val="multilevel"/>
    <w:tmpl w:val="52B2E0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6540057A"/>
    <w:multiLevelType w:val="multilevel"/>
    <w:tmpl w:val="75C4568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424570535">
    <w:abstractNumId w:val="2"/>
  </w:num>
  <w:num w:numId="2" w16cid:durableId="1965840583">
    <w:abstractNumId w:val="1"/>
  </w:num>
  <w:num w:numId="3" w16cid:durableId="2000840961">
    <w:abstractNumId w:val="5"/>
  </w:num>
  <w:num w:numId="4" w16cid:durableId="1555503444">
    <w:abstractNumId w:val="6"/>
  </w:num>
  <w:num w:numId="5" w16cid:durableId="653339781">
    <w:abstractNumId w:val="4"/>
  </w:num>
  <w:num w:numId="6" w16cid:durableId="1307278042">
    <w:abstractNumId w:val="3"/>
  </w:num>
  <w:num w:numId="7" w16cid:durableId="1994677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6CA"/>
    <w:rsid w:val="00305D26"/>
    <w:rsid w:val="0034795B"/>
    <w:rsid w:val="004F2A43"/>
    <w:rsid w:val="007776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C2972"/>
  <w15:docId w15:val="{72DE57B9-EE1E-433A-A964-0F0D6F090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Ttulo1">
    <w:name w:val="heading 1"/>
    <w:basedOn w:val="Normal"/>
    <w:uiPriority w:val="9"/>
    <w:qFormat/>
    <w:pPr>
      <w:ind w:left="234"/>
      <w:outlineLvl w:val="0"/>
    </w:pPr>
    <w:rPr>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234"/>
    </w:pPr>
    <w:rPr>
      <w:sz w:val="24"/>
      <w:szCs w:val="24"/>
    </w:rPr>
  </w:style>
  <w:style w:type="paragraph" w:styleId="PargrafodaLista">
    <w:name w:val="List Paragraph"/>
    <w:basedOn w:val="Normal"/>
    <w:uiPriority w:val="1"/>
    <w:qFormat/>
    <w:pPr>
      <w:ind w:left="352" w:hanging="246"/>
    </w:pPr>
  </w:style>
  <w:style w:type="paragraph" w:customStyle="1" w:styleId="TableParagraph">
    <w:name w:val="Table Paragraph"/>
    <w:basedOn w:val="Normal"/>
    <w:uiPriority w:val="1"/>
    <w:qFormat/>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ug5+L1n74Guql4KrAvilnktxkQ==">CgMxLjA4AHIhMTlHaUFKemVmYWV1T1ByVWo4MjVqUzBxRDZWYWpSOEFP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3070</Words>
  <Characters>16583</Characters>
  <Application>Microsoft Office Word</Application>
  <DocSecurity>0</DocSecurity>
  <Lines>138</Lines>
  <Paragraphs>39</Paragraphs>
  <ScaleCrop>false</ScaleCrop>
  <Company/>
  <LinksUpToDate>false</LinksUpToDate>
  <CharactersWithSpaces>19614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Heidner</dc:creator>
  <cp:lastModifiedBy>Caroline Heidner</cp:lastModifiedBy>
  <cp:revision>2</cp:revision>
  <dcterms:created xsi:type="dcterms:W3CDTF">2024-05-27T18:40:00Z</dcterms:created>
  <dcterms:modified xsi:type="dcterms:W3CDTF">2024-05-27T18:40:00Z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2024-04-09T00:00:00Z</vt:filetime>
  </property>
  <property fmtid="{D5CDD505-2E9C-101B-9397-08002B2CF9AE}" pid="3" name="Creator">
    <vt:lpwstr>Mozilla/5.0 (Windows NT 10.0; Win64; x64) AppleWebKit/537.36 (KHTML, like Gecko) Chrome/122.0.0.0 Safari/537.36</vt:lpwstr>
  </property>
  <property fmtid="{D5CDD505-2E9C-101B-9397-08002B2CF9AE}" pid="4" name="LastSaved">
    <vt:filetime>2024-05-24T00:00:00Z</vt:filetime>
  </property>
  <property fmtid="{D5CDD505-2E9C-101B-9397-08002B2CF9AE}" pid="5" name="Producer">
    <vt:lpwstr>Skia/PDF m122</vt:lpwstr>
  </property>
</Properties>
</file>